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E0" w:rsidRDefault="00D200BC" w:rsidP="001C42FC">
      <w:pPr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-615950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5"/>
        <w:gridCol w:w="2880"/>
        <w:gridCol w:w="45"/>
        <w:gridCol w:w="675"/>
        <w:gridCol w:w="43"/>
        <w:gridCol w:w="5177"/>
      </w:tblGrid>
      <w:tr w:rsidR="003400E0" w:rsidRPr="00F6188A" w:rsidTr="00F72EEE">
        <w:trPr>
          <w:tblHeader/>
        </w:trPr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sz w:val="20"/>
                <w:szCs w:val="20"/>
              </w:rPr>
            </w:pPr>
            <w:r w:rsidRPr="00F6188A">
              <w:rPr>
                <w:b/>
                <w:sz w:val="27"/>
                <w:szCs w:val="27"/>
              </w:rPr>
              <w:t>National Standards for Family and Consumer Sciences Education</w:t>
            </w:r>
            <w:r w:rsidRPr="00F6188A">
              <w:br/>
            </w:r>
            <w:r w:rsidRPr="00F6188A">
              <w:rPr>
                <w:sz w:val="20"/>
                <w:szCs w:val="20"/>
              </w:rPr>
              <w:t>Copyright © 2018</w:t>
            </w:r>
            <w:r w:rsidRPr="00F6188A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3400E0" w:rsidRPr="00F6188A" w:rsidTr="00F72EEE">
        <w:trPr>
          <w:tblHeader/>
        </w:trPr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Area of Study 9.0</w:t>
            </w:r>
          </w:p>
        </w:tc>
      </w:tr>
      <w:tr w:rsidR="003400E0" w:rsidRPr="00F6188A" w:rsidTr="00F72EEE">
        <w:trPr>
          <w:tblHeader/>
        </w:trPr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Default="003400E0" w:rsidP="001C42FC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F6188A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Food Science, Dietetics, and Nutrition</w:t>
            </w:r>
          </w:p>
          <w:p w:rsidR="001C42FC" w:rsidRPr="00F6188A" w:rsidRDefault="001C42FC" w:rsidP="001C42FC">
            <w:pPr>
              <w:rPr>
                <w:rFonts w:eastAsia="Times New Roman"/>
                <w:lang w:bidi="ar-SA"/>
              </w:rPr>
            </w:pPr>
          </w:p>
        </w:tc>
      </w:tr>
      <w:tr w:rsidR="001C42FC" w:rsidRPr="00F6188A" w:rsidTr="00F72EEE"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7F" w:rsidRDefault="005B4F7F" w:rsidP="005B4F7F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1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397571" w:rsidRPr="00CF0FF0" w:rsidRDefault="00397571" w:rsidP="00397571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397571" w:rsidRPr="00CF0FF0" w:rsidRDefault="00397571" w:rsidP="00397571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1C42FC" w:rsidRDefault="001C42FC" w:rsidP="001C42FC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The standards are grouped by Areas of Study, NOT by courses</w:t>
            </w:r>
            <w:r w:rsidR="00F72EE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F72EE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F72EE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F72EE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F72EE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and course sequences </w:t>
            </w:r>
            <w:r w:rsidR="00A36C58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for Career Pathways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Connections, Area 2 Consumer and Family Resources, and Area 1</w:t>
            </w:r>
            <w:r w:rsidR="00481188">
              <w:rPr>
                <w:rFonts w:eastAsia="Times New Roman" w:cs="Arial"/>
                <w:bCs/>
                <w:sz w:val="22"/>
                <w:szCs w:val="22"/>
                <w:lang w:bidi="ar-SA"/>
              </w:rPr>
              <w:t>4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="00481188">
              <w:rPr>
                <w:rFonts w:eastAsia="Times New Roman" w:cs="Arial"/>
                <w:bCs/>
                <w:sz w:val="22"/>
                <w:szCs w:val="22"/>
                <w:lang w:bidi="ar-SA"/>
              </w:rPr>
              <w:t>Nutrition and Wellness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, as well as standards from other Areas of Study, might be incorporated into course sequences for F</w:t>
            </w:r>
            <w:r w:rsidR="00481188">
              <w:rPr>
                <w:rFonts w:eastAsia="Times New Roman" w:cs="Arial"/>
                <w:bCs/>
                <w:sz w:val="22"/>
                <w:szCs w:val="22"/>
                <w:lang w:bidi="ar-SA"/>
              </w:rPr>
              <w:t>ood Science, Dietetics, and Nutrition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  <w:bookmarkEnd w:id="1"/>
          </w:p>
          <w:p w:rsidR="001C42FC" w:rsidRPr="00F6188A" w:rsidRDefault="001C42FC" w:rsidP="001C42FC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400E0" w:rsidRPr="00F6188A" w:rsidTr="00F72EEE"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F6188A">
              <w:rPr>
                <w:rFonts w:eastAsia="Times New Roman" w:cs="Arial"/>
                <w:sz w:val="22"/>
                <w:szCs w:val="22"/>
                <w:lang w:bidi="ar-SA"/>
              </w:rPr>
              <w:br/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Integrate knowledge, skills, practices required for careers in food science, food technology, dietetics, and nutrition.</w:t>
            </w:r>
          </w:p>
        </w:tc>
      </w:tr>
      <w:tr w:rsidR="003400E0" w:rsidRPr="00F6188A" w:rsidTr="00F72EEE">
        <w:tc>
          <w:tcPr>
            <w:tcW w:w="936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3400E0" w:rsidRPr="00F6188A" w:rsidTr="00F72EEE">
        <w:tc>
          <w:tcPr>
            <w:tcW w:w="34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8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3400E0" w:rsidRPr="00F6188A" w:rsidTr="00F72EEE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</w:t>
            </w:r>
          </w:p>
        </w:tc>
        <w:tc>
          <w:tcPr>
            <w:tcW w:w="297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career paths within food science, food technology, dietetics, and nutrition industries.</w:t>
            </w:r>
          </w:p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9.1.1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Explain the roles and functions of individuals engaged in food science, food technology, dietetics, and nutrition careers.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9.1.2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opportunities for employment and entrepreneurial endeavors.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9.1.3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Summarize education and training requirements and opportunities for career paths in food science, food technology, dietetics, and nutrition.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9.1.4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A665AE" w:rsidP="001C42F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 xml:space="preserve"> Analyze the correlation between food science, dietetics, and nutrition occupations and local, state, national, and global economies.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9.1.5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Create an employment portfolio </w:t>
            </w:r>
            <w:r w:rsidR="00E4290D">
              <w:rPr>
                <w:rFonts w:eastAsia="Times New Roman"/>
                <w:sz w:val="22"/>
                <w:szCs w:val="22"/>
                <w:lang w:bidi="ar-SA"/>
              </w:rPr>
              <w:t>to communicate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food science, food technology, dietetics, and nutrition careers</w:t>
            </w:r>
            <w:r w:rsidR="00E4290D">
              <w:rPr>
                <w:rFonts w:eastAsia="Times New Roman"/>
                <w:sz w:val="22"/>
                <w:szCs w:val="22"/>
                <w:lang w:bidi="ar-SA"/>
              </w:rPr>
              <w:t xml:space="preserve"> knowledge and skills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9.1.6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the role of professional organizations in food science, food technology, dietetics, and nutrition careers.</w:t>
            </w:r>
          </w:p>
        </w:tc>
      </w:tr>
      <w:tr w:rsidR="003400E0" w:rsidRPr="00F6188A" w:rsidTr="00F72EEE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3400E0" w:rsidRPr="00F6188A" w:rsidTr="00F72EEE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</w:t>
            </w:r>
          </w:p>
        </w:tc>
        <w:tc>
          <w:tcPr>
            <w:tcW w:w="297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Apply risk management procedures to food safety, food testing, and sanitation.</w:t>
            </w:r>
          </w:p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lastRenderedPageBreak/>
              <w:t>9.2.1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factors that contribute to food borne illness.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9.2.2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food service management safety and sanitation programs.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9.2.3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Implement industry standards for documenting, investigating, and reporting </w:t>
            </w:r>
            <w:r w:rsidR="00896CFA">
              <w:rPr>
                <w:rFonts w:eastAsia="Times New Roman"/>
                <w:sz w:val="22"/>
                <w:szCs w:val="22"/>
                <w:lang w:bidi="ar-SA"/>
              </w:rPr>
              <w:t xml:space="preserve">foodborne 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illnesses.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9.2.4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Use the Hazard Analysis Critical Control Point (HACCP) during all food handling processes</w:t>
            </w:r>
            <w:r w:rsidR="00A665AE">
              <w:rPr>
                <w:rFonts w:eastAsia="Times New Roman"/>
                <w:sz w:val="22"/>
                <w:szCs w:val="22"/>
                <w:lang w:bidi="ar-SA"/>
              </w:rPr>
              <w:t xml:space="preserve"> (the flow of food)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to minimize the risks of food borne illness.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9.2.5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Demonstrate practices and procedures that assure personal and workplace health and hygiene.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9.2.6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Demonstrate standard procedures for receiving</w:t>
            </w:r>
            <w:r w:rsidR="00A36C58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storage</w:t>
            </w:r>
            <w:r w:rsidR="00A36C58">
              <w:rPr>
                <w:rFonts w:eastAsia="Times New Roman"/>
                <w:sz w:val="22"/>
                <w:szCs w:val="22"/>
                <w:lang w:bidi="ar-SA"/>
              </w:rPr>
              <w:t>, and preparation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of raw and prepared foods.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9.2.7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6A091D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Classify cleaning</w:t>
            </w:r>
            <w:r w:rsidR="003400E0" w:rsidRPr="00F6188A">
              <w:rPr>
                <w:rFonts w:eastAsia="Times New Roman"/>
                <w:sz w:val="22"/>
                <w:szCs w:val="22"/>
                <w:lang w:bidi="ar-SA"/>
              </w:rPr>
              <w:t xml:space="preserve"> and sanitiz</w:t>
            </w:r>
            <w:r w:rsidR="00A36C58">
              <w:rPr>
                <w:rFonts w:eastAsia="Times New Roman"/>
                <w:sz w:val="22"/>
                <w:szCs w:val="22"/>
                <w:lang w:bidi="ar-SA"/>
              </w:rPr>
              <w:t>ing</w:t>
            </w:r>
            <w:r w:rsidR="003400E0" w:rsidRPr="00F6188A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A36C58" w:rsidRPr="00F6188A">
              <w:rPr>
                <w:rFonts w:eastAsia="Times New Roman"/>
                <w:sz w:val="22"/>
                <w:szCs w:val="22"/>
                <w:lang w:bidi="ar-SA"/>
              </w:rPr>
              <w:t xml:space="preserve">materials </w:t>
            </w:r>
            <w:r w:rsidR="003400E0" w:rsidRPr="00F6188A">
              <w:rPr>
                <w:rFonts w:eastAsia="Times New Roman"/>
                <w:sz w:val="22"/>
                <w:szCs w:val="22"/>
                <w:lang w:bidi="ar-SA"/>
              </w:rPr>
              <w:t xml:space="preserve">and their </w:t>
            </w:r>
            <w:r w:rsidR="009B11F6">
              <w:rPr>
                <w:rFonts w:eastAsia="Times New Roman"/>
                <w:sz w:val="22"/>
                <w:szCs w:val="22"/>
                <w:lang w:bidi="ar-SA"/>
              </w:rPr>
              <w:t xml:space="preserve">correct </w:t>
            </w:r>
            <w:r w:rsidR="003400E0" w:rsidRPr="00F6188A">
              <w:rPr>
                <w:rFonts w:eastAsia="Times New Roman"/>
                <w:sz w:val="22"/>
                <w:szCs w:val="22"/>
                <w:lang w:bidi="ar-SA"/>
              </w:rPr>
              <w:t>use.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9.2.8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Use Occupational Safety and Health Administration's (OSHA) Right to Know Law and Material Safety Data Sheets (MSDS) and explain their requirements in handling hazardous materials.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9.2.9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Demonstrate waste disposal and recycling methods.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3400E0" w:rsidRPr="00F6188A" w:rsidTr="00F72EEE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</w:t>
            </w:r>
          </w:p>
        </w:tc>
        <w:tc>
          <w:tcPr>
            <w:tcW w:w="297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Evaluate nutrition principles, food plans, preparation techniques and specialized dietary plans.</w:t>
            </w:r>
          </w:p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9.3.1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nutrient requirements across the life span addressing the diversity of people, culture, and religions.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9.3.2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nutritional data.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9.3.3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Apply principles of food production to maximize nutrient retention in </w:t>
            </w:r>
            <w:r w:rsidR="009B11F6">
              <w:rPr>
                <w:rFonts w:eastAsia="Times New Roman"/>
                <w:sz w:val="22"/>
                <w:szCs w:val="22"/>
                <w:lang w:bidi="ar-SA"/>
              </w:rPr>
              <w:t>menus.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9.3.4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Assess the influence of </w:t>
            </w:r>
            <w:r w:rsidR="00C77022">
              <w:rPr>
                <w:rFonts w:eastAsia="Times New Roman"/>
                <w:sz w:val="22"/>
                <w:szCs w:val="22"/>
                <w:lang w:bidi="ar-SA"/>
              </w:rPr>
              <w:t xml:space="preserve">cultural, 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socioeconomic and psychological factors on food and nutrition and behavior.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9.3.5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recipe/formula proportions and modifications for food production.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9.3.6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Critique the selection of foods to promote a healthy lifestyle.</w:t>
            </w:r>
          </w:p>
        </w:tc>
      </w:tr>
      <w:tr w:rsidR="003400E0" w:rsidRPr="00F6188A" w:rsidTr="00F72EEE">
        <w:tc>
          <w:tcPr>
            <w:tcW w:w="0" w:type="auto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3400E0" w:rsidP="001C42FC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9.3.7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6188A" w:rsidRDefault="00B83B02" w:rsidP="001C42F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P</w:t>
            </w:r>
            <w:r w:rsidR="003400E0" w:rsidRPr="00F6188A">
              <w:rPr>
                <w:rFonts w:eastAsia="Times New Roman"/>
                <w:sz w:val="22"/>
                <w:szCs w:val="22"/>
                <w:lang w:bidi="ar-SA"/>
              </w:rPr>
              <w:t>lan menus, applying the exchange system to meet various nutrient needs.</w:t>
            </w:r>
          </w:p>
        </w:tc>
      </w:tr>
      <w:tr w:rsidR="00401A18" w:rsidRPr="00F6188A" w:rsidTr="00F72EEE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Pr="00F6188A" w:rsidRDefault="00401A18" w:rsidP="00F72EEE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Pr="00F6188A" w:rsidRDefault="00401A18" w:rsidP="00F72EEE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Pr="00F6188A" w:rsidRDefault="00401A18" w:rsidP="00F72EEE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Pr="00F6188A" w:rsidRDefault="00401A18" w:rsidP="00F72EEE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F72EEE" w:rsidRPr="00F6188A" w:rsidTr="00F72EEE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</w:t>
            </w:r>
          </w:p>
        </w:tc>
        <w:tc>
          <w:tcPr>
            <w:tcW w:w="2970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Apply basic concepts of nutrition and nutrition therapy in a variety of settings</w:t>
            </w:r>
            <w:r w:rsidR="00C77022">
              <w:rPr>
                <w:rFonts w:eastAsia="Times New Roman"/>
                <w:sz w:val="22"/>
                <w:szCs w:val="22"/>
                <w:lang w:bidi="ar-SA"/>
              </w:rPr>
              <w:t xml:space="preserve">, considering </w:t>
            </w:r>
            <w:r w:rsidR="00023D55">
              <w:rPr>
                <w:rFonts w:eastAsia="Times New Roman"/>
                <w:sz w:val="22"/>
                <w:szCs w:val="22"/>
                <w:lang w:bidi="ar-SA"/>
              </w:rPr>
              <w:t xml:space="preserve">social, </w:t>
            </w:r>
            <w:r w:rsidR="00C77022">
              <w:rPr>
                <w:rFonts w:eastAsia="Times New Roman"/>
                <w:sz w:val="22"/>
                <w:szCs w:val="22"/>
                <w:lang w:bidi="ar-SA"/>
              </w:rPr>
              <w:t>geographical, cultural, and global influences</w:t>
            </w:r>
            <w:r w:rsidR="00023D55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9.4.1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nutritional needs of individuals.</w:t>
            </w:r>
          </w:p>
        </w:tc>
      </w:tr>
      <w:tr w:rsidR="00F72EEE" w:rsidRPr="00F6188A" w:rsidTr="00F72EEE">
        <w:tc>
          <w:tcPr>
            <w:tcW w:w="4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970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9.4.2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Use nutritional information to support care planning.</w:t>
            </w:r>
          </w:p>
        </w:tc>
      </w:tr>
      <w:tr w:rsidR="00F72EEE" w:rsidRPr="00F6188A" w:rsidTr="00F72EEE">
        <w:trPr>
          <w:trHeight w:val="73"/>
        </w:trPr>
        <w:tc>
          <w:tcPr>
            <w:tcW w:w="0" w:type="auto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spacing w:line="73" w:lineRule="atLeast"/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9.4.3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spacing w:line="73" w:lineRule="atLeas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Determine when to provide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a selective menu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approach in nutrition therapy settings.</w:t>
            </w:r>
          </w:p>
        </w:tc>
      </w:tr>
      <w:tr w:rsidR="00F72EEE" w:rsidRPr="00F6188A" w:rsidTr="00F72EEE">
        <w:tc>
          <w:tcPr>
            <w:tcW w:w="0" w:type="auto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9.4.4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Construct a modified diet based on nutritional needs and health conditions.</w:t>
            </w:r>
          </w:p>
        </w:tc>
      </w:tr>
      <w:tr w:rsidR="00F72EEE" w:rsidRPr="00F6188A" w:rsidTr="00F72EEE">
        <w:tc>
          <w:tcPr>
            <w:tcW w:w="0" w:type="auto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9.4.5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Design instruction on nutrition </w:t>
            </w:r>
            <w:r>
              <w:rPr>
                <w:rFonts w:eastAsia="Times New Roman"/>
                <w:sz w:val="22"/>
                <w:szCs w:val="22"/>
                <w:lang w:bidi="ar-SA"/>
              </w:rPr>
              <w:t>to promote wellness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and disease prevention.</w:t>
            </w:r>
          </w:p>
        </w:tc>
      </w:tr>
      <w:tr w:rsidR="00F72EEE" w:rsidRPr="00F6188A" w:rsidTr="00F72EEE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A18" w:rsidRPr="00F6188A" w:rsidRDefault="00F72EEE" w:rsidP="006254E2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lastRenderedPageBreak/>
              <w:t>9.5</w:t>
            </w:r>
          </w:p>
        </w:tc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Demonstrate use of </w:t>
            </w:r>
            <w:r>
              <w:rPr>
                <w:rFonts w:eastAsia="Times New Roman"/>
                <w:sz w:val="22"/>
                <w:szCs w:val="22"/>
                <w:lang w:bidi="ar-SA"/>
              </w:rPr>
              <w:t>science and technology advancements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in food product development and marketing.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9.5.1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various factors that affect food preferences in the marketing of food</w:t>
            </w:r>
            <w:r w:rsidR="00023D55">
              <w:rPr>
                <w:rFonts w:eastAsia="Times New Roman"/>
                <w:sz w:val="22"/>
                <w:szCs w:val="22"/>
                <w:lang w:bidi="ar-SA"/>
              </w:rPr>
              <w:t xml:space="preserve"> to a variety of populations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9.5.2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Analyze data in statistical analysis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when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 making development and marketing decisions.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9.5.3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Prepare food for presentation and assessment.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9.5.4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Maintain test kitchen/ laboratory and related equipment and supplies.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9.5.5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Implement procedures that affect quality product performance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and sustainability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9.5.6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Conduct sensory evaluations of food products.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9.5.7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Conduct testing for safety of food products, utilizing available technology.</w:t>
            </w:r>
          </w:p>
        </w:tc>
      </w:tr>
      <w:tr w:rsidR="00F72EEE" w:rsidRPr="00F6188A" w:rsidTr="00A36C58">
        <w:tc>
          <w:tcPr>
            <w:tcW w:w="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</w:t>
            </w:r>
          </w:p>
        </w:tc>
        <w:tc>
          <w:tcPr>
            <w:tcW w:w="2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Demonstrate food science, dietetics, and nutrition management principles and practices.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9.6.1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Build menus to customer/ client preferences.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9.6.2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Implement food preparation, production, and testing systems.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9.6.3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Apply standards for food quality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and sustainability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9.6.4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Create standardized recipes.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9.6.5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Manage food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production 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to meet needs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and preferences 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 xml:space="preserve">of </w:t>
            </w:r>
            <w:r w:rsidR="00023D55">
              <w:rPr>
                <w:rFonts w:eastAsia="Times New Roman"/>
                <w:sz w:val="22"/>
                <w:szCs w:val="22"/>
                <w:lang w:bidi="ar-SA"/>
              </w:rPr>
              <w:t xml:space="preserve">diverse 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customer</w:t>
            </w:r>
            <w:r w:rsidR="00023D55">
              <w:rPr>
                <w:rFonts w:eastAsia="Times New Roman"/>
                <w:sz w:val="22"/>
                <w:szCs w:val="22"/>
                <w:lang w:bidi="ar-SA"/>
              </w:rPr>
              <w:t xml:space="preserve"> population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9.6.6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Analyze new products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utilizing most current guidelines and innovations in technology</w:t>
            </w:r>
            <w:r w:rsidRPr="00F6188A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9.6.7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Implement procedures that provide cost effective products.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9.6.8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Establish par levels for the purchase of supplies based on an organization's needs.</w:t>
            </w:r>
          </w:p>
        </w:tc>
      </w:tr>
      <w:tr w:rsidR="00F72EEE" w:rsidRPr="00F6188A" w:rsidTr="00A36C58">
        <w:tc>
          <w:tcPr>
            <w:tcW w:w="540" w:type="dxa"/>
            <w:gridSpan w:val="2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9.6.9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EE" w:rsidRPr="00F6188A" w:rsidRDefault="00F72EEE" w:rsidP="00F72EEE">
            <w:pPr>
              <w:rPr>
                <w:rFonts w:eastAsia="Times New Roman"/>
                <w:lang w:bidi="ar-SA"/>
              </w:rPr>
            </w:pPr>
            <w:r w:rsidRPr="00F6188A">
              <w:rPr>
                <w:rFonts w:eastAsia="Times New Roman"/>
                <w:sz w:val="22"/>
                <w:szCs w:val="22"/>
                <w:lang w:bidi="ar-SA"/>
              </w:rPr>
              <w:t>Utilize Food Code Points of time, temperature, date markings, cross contamination, hand washing, and personal hygiene as criteria for safe food preparation.</w:t>
            </w:r>
          </w:p>
        </w:tc>
      </w:tr>
      <w:tr w:rsidR="00401A18" w:rsidRPr="00F6188A" w:rsidTr="00A36C58">
        <w:tc>
          <w:tcPr>
            <w:tcW w:w="540" w:type="dxa"/>
            <w:gridSpan w:val="2"/>
          </w:tcPr>
          <w:p w:rsidR="00401A18" w:rsidRPr="002A35EF" w:rsidRDefault="00401A18" w:rsidP="00A36C58">
            <w:pPr>
              <w:jc w:val="center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</w:tcPr>
          <w:p w:rsidR="00401A18" w:rsidRPr="002A35EF" w:rsidRDefault="00401A18" w:rsidP="002A35EF">
            <w:pPr>
              <w:ind w:left="138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Default="00401A1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A18" w:rsidRDefault="00401A1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2A35EF" w:rsidRPr="00F6188A" w:rsidTr="00A36C58">
        <w:tc>
          <w:tcPr>
            <w:tcW w:w="540" w:type="dxa"/>
            <w:gridSpan w:val="2"/>
            <w:vMerge w:val="restart"/>
          </w:tcPr>
          <w:p w:rsidR="002A35EF" w:rsidRPr="002A35EF" w:rsidRDefault="002A35EF" w:rsidP="00A36C58">
            <w:pPr>
              <w:jc w:val="center"/>
              <w:rPr>
                <w:rFonts w:eastAsia="Times New Roman"/>
                <w:sz w:val="22"/>
                <w:szCs w:val="22"/>
                <w:lang w:bidi="ar-SA"/>
              </w:rPr>
            </w:pPr>
            <w:r w:rsidRPr="002A35EF">
              <w:rPr>
                <w:rFonts w:eastAsia="Times New Roman"/>
                <w:sz w:val="22"/>
                <w:szCs w:val="22"/>
                <w:lang w:bidi="ar-SA"/>
              </w:rPr>
              <w:t>9.7</w:t>
            </w:r>
          </w:p>
        </w:tc>
        <w:tc>
          <w:tcPr>
            <w:tcW w:w="2880" w:type="dxa"/>
            <w:vMerge w:val="restart"/>
          </w:tcPr>
          <w:p w:rsidR="002A35EF" w:rsidRPr="002A35EF" w:rsidRDefault="002A35EF" w:rsidP="002A35EF">
            <w:pPr>
              <w:ind w:left="138"/>
              <w:rPr>
                <w:rFonts w:eastAsia="Times New Roman"/>
                <w:sz w:val="22"/>
                <w:szCs w:val="22"/>
                <w:lang w:bidi="ar-SA"/>
              </w:rPr>
            </w:pPr>
            <w:r w:rsidRPr="002A35EF">
              <w:rPr>
                <w:rFonts w:eastAsia="Times New Roman"/>
                <w:sz w:val="22"/>
                <w:szCs w:val="22"/>
                <w:lang w:bidi="ar-SA"/>
              </w:rPr>
              <w:t>Demons</w:t>
            </w:r>
            <w:r>
              <w:rPr>
                <w:rFonts w:eastAsia="Times New Roman"/>
                <w:sz w:val="22"/>
                <w:szCs w:val="22"/>
                <w:lang w:bidi="ar-SA"/>
              </w:rPr>
              <w:t>trate principles of food biology and chemistry.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9.7.1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Explain the properties of elements, compounds, and mixtures in foods and food products.</w:t>
            </w:r>
          </w:p>
        </w:tc>
      </w:tr>
      <w:tr w:rsidR="002A35EF" w:rsidRPr="00F6188A" w:rsidTr="00A36C58">
        <w:tc>
          <w:tcPr>
            <w:tcW w:w="540" w:type="dxa"/>
            <w:gridSpan w:val="2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9.7.2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Analyze the effects of thermodynamics on chemical reactions in foods</w:t>
            </w:r>
            <w:r w:rsidR="00F61ED7">
              <w:rPr>
                <w:rFonts w:eastAsia="Times New Roman"/>
                <w:sz w:val="22"/>
                <w:szCs w:val="22"/>
                <w:lang w:bidi="ar-SA"/>
              </w:rPr>
              <w:t xml:space="preserve"> and food products</w:t>
            </w:r>
            <w:r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2A35EF" w:rsidRPr="00F6188A" w:rsidTr="00A36C58">
        <w:trPr>
          <w:trHeight w:val="594"/>
        </w:trPr>
        <w:tc>
          <w:tcPr>
            <w:tcW w:w="540" w:type="dxa"/>
            <w:gridSpan w:val="2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9.7.3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Explain the process of ionization in the formation of acids and bases and effect on food and food products.</w:t>
            </w:r>
          </w:p>
        </w:tc>
      </w:tr>
      <w:tr w:rsidR="002A35EF" w:rsidRPr="00F6188A" w:rsidTr="00A36C58">
        <w:tc>
          <w:tcPr>
            <w:tcW w:w="540" w:type="dxa"/>
            <w:gridSpan w:val="2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9.7.4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Explain the impact of molecular structure of simple and complex carbohydrates on digestion, nutrition, and food preparation procedures.</w:t>
            </w:r>
          </w:p>
        </w:tc>
      </w:tr>
      <w:tr w:rsidR="002A35EF" w:rsidRPr="00F6188A" w:rsidTr="00A36C58">
        <w:tc>
          <w:tcPr>
            <w:tcW w:w="540" w:type="dxa"/>
            <w:gridSpan w:val="2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9.7.5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Relate the composition of lipids and proteins to their functions in foods and their impact on food preparation and nutrition.</w:t>
            </w:r>
          </w:p>
        </w:tc>
      </w:tr>
      <w:tr w:rsidR="002A35EF" w:rsidRPr="00F6188A" w:rsidTr="00A36C58">
        <w:tc>
          <w:tcPr>
            <w:tcW w:w="540" w:type="dxa"/>
            <w:gridSpan w:val="2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2A35EF" w:rsidRPr="002A35EF" w:rsidRDefault="002A35EF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9.7.6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EF" w:rsidRPr="002A35EF" w:rsidRDefault="00F61ED7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Explain the value of molds and enzymes in food products.</w:t>
            </w:r>
          </w:p>
        </w:tc>
      </w:tr>
      <w:tr w:rsidR="00A36C58" w:rsidRPr="00F6188A" w:rsidTr="00A36C58">
        <w:trPr>
          <w:trHeight w:val="806"/>
        </w:trPr>
        <w:tc>
          <w:tcPr>
            <w:tcW w:w="540" w:type="dxa"/>
            <w:gridSpan w:val="2"/>
            <w:vMerge/>
            <w:vAlign w:val="center"/>
          </w:tcPr>
          <w:p w:rsidR="00A36C58" w:rsidRPr="002A35EF" w:rsidRDefault="00A36C5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vAlign w:val="center"/>
          </w:tcPr>
          <w:p w:rsidR="00A36C58" w:rsidRPr="002A35EF" w:rsidRDefault="00A36C5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58" w:rsidRPr="002A35EF" w:rsidRDefault="00A36C5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9.7.7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58" w:rsidRPr="002A35EF" w:rsidRDefault="00A36C58" w:rsidP="002A35EF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 xml:space="preserve">Analyze the impact of food presentation methods and techniques on nutrient value, safety and sanitation, and consumer appeal of food and products. </w:t>
            </w:r>
          </w:p>
        </w:tc>
      </w:tr>
    </w:tbl>
    <w:p w:rsidR="003400E0" w:rsidRDefault="003400E0" w:rsidP="001C42FC"/>
    <w:sectPr w:rsidR="003400E0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7F" w:rsidRDefault="0027227F" w:rsidP="00F72EEE">
      <w:r>
        <w:separator/>
      </w:r>
    </w:p>
  </w:endnote>
  <w:endnote w:type="continuationSeparator" w:id="0">
    <w:p w:rsidR="0027227F" w:rsidRDefault="0027227F" w:rsidP="00F7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7F" w:rsidRDefault="005B4F7F" w:rsidP="00F72EEE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National Standards 3.0 (NASAFACS 2018)</w:t>
    </w:r>
  </w:p>
  <w:p w:rsidR="00F72EEE" w:rsidRDefault="00F72EEE" w:rsidP="00F72EEE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 xml:space="preserve">9 Food Science, Dietetics, and Nutrition, </w:t>
    </w:r>
    <w:r w:rsidR="000B31A6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F10028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A226ED">
      <w:rPr>
        <w:bCs/>
        <w:i/>
        <w:noProof/>
        <w:sz w:val="22"/>
        <w:szCs w:val="22"/>
      </w:rPr>
      <w:t>4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A226ED">
      <w:rPr>
        <w:bCs/>
        <w:i/>
        <w:noProof/>
        <w:sz w:val="22"/>
        <w:szCs w:val="22"/>
      </w:rPr>
      <w:t>4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7F" w:rsidRDefault="0027227F" w:rsidP="00F72EEE">
      <w:r>
        <w:separator/>
      </w:r>
    </w:p>
  </w:footnote>
  <w:footnote w:type="continuationSeparator" w:id="0">
    <w:p w:rsidR="0027227F" w:rsidRDefault="0027227F" w:rsidP="00F7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10269"/>
    <w:rsid w:val="000106E1"/>
    <w:rsid w:val="00023D55"/>
    <w:rsid w:val="000823D7"/>
    <w:rsid w:val="000B31A6"/>
    <w:rsid w:val="00160CFF"/>
    <w:rsid w:val="00180713"/>
    <w:rsid w:val="001C42FC"/>
    <w:rsid w:val="0027227F"/>
    <w:rsid w:val="002A0521"/>
    <w:rsid w:val="002A35EF"/>
    <w:rsid w:val="00324B40"/>
    <w:rsid w:val="003400E0"/>
    <w:rsid w:val="00345012"/>
    <w:rsid w:val="00397571"/>
    <w:rsid w:val="003B2F2C"/>
    <w:rsid w:val="003D01EF"/>
    <w:rsid w:val="003E1F96"/>
    <w:rsid w:val="00401A18"/>
    <w:rsid w:val="00481188"/>
    <w:rsid w:val="004E3EBB"/>
    <w:rsid w:val="005B4F7F"/>
    <w:rsid w:val="005B5C08"/>
    <w:rsid w:val="005D3DA1"/>
    <w:rsid w:val="005F7178"/>
    <w:rsid w:val="006254E2"/>
    <w:rsid w:val="00646F76"/>
    <w:rsid w:val="006A091D"/>
    <w:rsid w:val="006B4A62"/>
    <w:rsid w:val="007875DA"/>
    <w:rsid w:val="00896CFA"/>
    <w:rsid w:val="008C096D"/>
    <w:rsid w:val="008E7EA2"/>
    <w:rsid w:val="00955AE1"/>
    <w:rsid w:val="009B11F6"/>
    <w:rsid w:val="00A226ED"/>
    <w:rsid w:val="00A36C58"/>
    <w:rsid w:val="00A665AE"/>
    <w:rsid w:val="00B83B02"/>
    <w:rsid w:val="00B8703C"/>
    <w:rsid w:val="00C122CB"/>
    <w:rsid w:val="00C77022"/>
    <w:rsid w:val="00CF3104"/>
    <w:rsid w:val="00D200BC"/>
    <w:rsid w:val="00E2316B"/>
    <w:rsid w:val="00E4290D"/>
    <w:rsid w:val="00F059D0"/>
    <w:rsid w:val="00F10028"/>
    <w:rsid w:val="00F6188A"/>
    <w:rsid w:val="00F61ED7"/>
    <w:rsid w:val="00F72EEE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CED6-0AF7-49CF-A50D-285FE15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paragraph" w:styleId="BalloonText">
    <w:name w:val="Balloon Text"/>
    <w:basedOn w:val="Normal"/>
    <w:link w:val="BalloonTextChar"/>
    <w:uiPriority w:val="99"/>
    <w:semiHidden/>
    <w:unhideWhenUsed/>
    <w:rsid w:val="00A6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5AE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E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E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6065</Characters>
  <Application>Microsoft Office Word</Application>
  <DocSecurity>0</DocSecurity>
  <Lines>319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3</cp:revision>
  <cp:lastPrinted>2017-06-12T22:24:00Z</cp:lastPrinted>
  <dcterms:created xsi:type="dcterms:W3CDTF">2017-07-08T19:42:00Z</dcterms:created>
  <dcterms:modified xsi:type="dcterms:W3CDTF">2017-08-17T19:05:00Z</dcterms:modified>
</cp:coreProperties>
</file>