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5A" w:rsidRDefault="0059775A">
      <w:r>
        <w:rPr>
          <w:noProof/>
          <w:sz w:val="22"/>
          <w:szCs w:val="22"/>
          <w:lang w:bidi="ar-SA"/>
        </w:rPr>
        <w:drawing>
          <wp:anchor distT="0" distB="0" distL="114300" distR="114300" simplePos="0" relativeHeight="251659264" behindDoc="1" locked="0" layoutInCell="1" allowOverlap="1" wp14:anchorId="3F92E05B" wp14:editId="00B5C7B2">
            <wp:simplePos x="0" y="0"/>
            <wp:positionH relativeFrom="column">
              <wp:posOffset>5135245</wp:posOffset>
            </wp:positionH>
            <wp:positionV relativeFrom="paragraph">
              <wp:posOffset>-567127</wp:posOffset>
            </wp:positionV>
            <wp:extent cx="1108863" cy="12338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S NS peo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863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2760"/>
        <w:gridCol w:w="774"/>
        <w:gridCol w:w="5371"/>
      </w:tblGrid>
      <w:tr w:rsidR="004F1A3E" w:rsidRPr="002D2856" w:rsidTr="00657D30">
        <w:trPr>
          <w:trHeight w:val="315"/>
          <w:tblHeader/>
        </w:trPr>
        <w:tc>
          <w:tcPr>
            <w:tcW w:w="94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3E" w:rsidRPr="002D2856" w:rsidRDefault="004F1A3E" w:rsidP="00DF0981">
            <w:r w:rsidRPr="002D2856">
              <w:rPr>
                <w:b/>
                <w:sz w:val="27"/>
                <w:szCs w:val="27"/>
              </w:rPr>
              <w:t>National Standards for Family and Consumer Sciences Education</w:t>
            </w:r>
            <w:r w:rsidRPr="002D2856">
              <w:br/>
            </w:r>
            <w:r w:rsidRPr="002D2856">
              <w:rPr>
                <w:sz w:val="20"/>
                <w:szCs w:val="20"/>
              </w:rPr>
              <w:t>Copyright © 2018</w:t>
            </w:r>
            <w:r w:rsidRPr="002D2856">
              <w:rPr>
                <w:sz w:val="20"/>
                <w:szCs w:val="20"/>
              </w:rPr>
              <w:br/>
              <w:t>Developed by National Association of State Administrators of Family and Consumer Sciences (NASAFACS)</w:t>
            </w:r>
          </w:p>
        </w:tc>
      </w:tr>
      <w:tr w:rsidR="001A4FC0" w:rsidRPr="002D2856" w:rsidTr="00657D30">
        <w:trPr>
          <w:trHeight w:val="315"/>
          <w:tblHeader/>
        </w:trPr>
        <w:tc>
          <w:tcPr>
            <w:tcW w:w="94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Area of Study 8.0</w:t>
            </w:r>
          </w:p>
        </w:tc>
      </w:tr>
      <w:tr w:rsidR="001A4FC0" w:rsidRPr="002D2856" w:rsidTr="00657D30">
        <w:trPr>
          <w:trHeight w:val="290"/>
          <w:tblHeader/>
        </w:trPr>
        <w:tc>
          <w:tcPr>
            <w:tcW w:w="94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Default="001A4FC0" w:rsidP="00DF0981">
            <w:pPr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</w:pPr>
            <w:r w:rsidRPr="002D2856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Food Production and Services</w:t>
            </w:r>
          </w:p>
          <w:p w:rsidR="00DF0981" w:rsidRPr="002D2856" w:rsidRDefault="00DF0981" w:rsidP="00DF0981">
            <w:pPr>
              <w:rPr>
                <w:rFonts w:eastAsia="Times New Roman"/>
                <w:lang w:bidi="ar-SA"/>
              </w:rPr>
            </w:pPr>
          </w:p>
        </w:tc>
      </w:tr>
      <w:tr w:rsidR="00DF0981" w:rsidRPr="002D2856" w:rsidTr="00657D30">
        <w:trPr>
          <w:trHeight w:val="290"/>
        </w:trPr>
        <w:tc>
          <w:tcPr>
            <w:tcW w:w="94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723" w:rsidRDefault="00EC0723" w:rsidP="00EC0723">
            <w:p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bookmarkStart w:id="0" w:name="_Hlk479078450"/>
            <w:r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Usage Guidelines</w:t>
            </w:r>
          </w:p>
          <w:p w:rsidR="005331F8" w:rsidRPr="00CF0FF0" w:rsidRDefault="005331F8" w:rsidP="005331F8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Family and Consumer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Sciences National Standards are </w:t>
            </w:r>
            <w:r w:rsidRPr="00CF0FF0">
              <w:rPr>
                <w:rFonts w:eastAsia="Times New Roman" w:cs="Arial"/>
                <w:bCs/>
                <w:sz w:val="22"/>
                <w:szCs w:val="22"/>
                <w:u w:val="single"/>
                <w:lang w:bidi="ar-SA"/>
              </w:rPr>
              <w:t>outcomes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; that is, expectations of what students should know and be able to do upon completion of a sequence of courses in a defined pathway/program of study. </w:t>
            </w:r>
          </w:p>
          <w:p w:rsidR="005331F8" w:rsidRPr="00CF0FF0" w:rsidRDefault="005331F8" w:rsidP="005331F8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As state or local curriculum is developed, the national standards should be utilized as indicators of student achievement at the end of the pathway/program of study. Benchmarks should be developed at the state or local level for student achievement in earlier courses. </w:t>
            </w:r>
          </w:p>
          <w:p w:rsidR="00DF0981" w:rsidRPr="00C368FE" w:rsidRDefault="00DF0981" w:rsidP="00DF0981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The standards are 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>grouped by Areas of Study, NOT by courses</w:t>
            </w:r>
            <w:r w:rsidR="00657D30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or course sequences</w:t>
            </w:r>
            <w:r w:rsidR="00657D30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. It is expected that content knowledge and skills from multiple Areas of Study </w:t>
            </w:r>
            <w:r w:rsidR="00657D30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would be utilized </w:t>
            </w:r>
            <w:r w:rsidR="00657D30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when building courses </w:t>
            </w:r>
            <w:r w:rsidR="00657D30">
              <w:rPr>
                <w:rFonts w:eastAsia="Times New Roman" w:cs="Arial"/>
                <w:bCs/>
                <w:sz w:val="22"/>
                <w:szCs w:val="22"/>
                <w:lang w:bidi="ar-SA"/>
              </w:rPr>
              <w:t>and course sequences for related Career Pathways</w:t>
            </w:r>
            <w:r w:rsidR="00657D30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>for state or local uses. For example, standards from Area 1-Career, Community and Life Connections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, Area 2 Consumer and Family Resources, and Area 14 Nutrition and Wellness, as well as standards from other Areas of Study, 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might be incorporated into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>course sequences for Food Production and Services pathways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>.</w:t>
            </w:r>
          </w:p>
          <w:bookmarkEnd w:id="0"/>
          <w:p w:rsidR="00DF0981" w:rsidRPr="002D2856" w:rsidRDefault="00DF0981" w:rsidP="00DF0981">
            <w:pPr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1A4FC0" w:rsidRPr="002D2856" w:rsidTr="00657D30">
        <w:trPr>
          <w:trHeight w:val="290"/>
        </w:trPr>
        <w:tc>
          <w:tcPr>
            <w:tcW w:w="94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Comprehensive Standard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br/>
              <w:t>Integrate knowledge, skills, and practices required for careers in food production and services.</w:t>
            </w:r>
          </w:p>
        </w:tc>
      </w:tr>
      <w:tr w:rsidR="001A4FC0" w:rsidRPr="002D2856" w:rsidTr="00657D30">
        <w:trPr>
          <w:trHeight w:val="290"/>
        </w:trPr>
        <w:tc>
          <w:tcPr>
            <w:tcW w:w="94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</w:tr>
      <w:tr w:rsidR="001A4FC0" w:rsidRPr="002D2856" w:rsidTr="00657D30">
        <w:trPr>
          <w:trHeight w:val="271"/>
        </w:trPr>
        <w:tc>
          <w:tcPr>
            <w:tcW w:w="33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Content Standards</w:t>
            </w:r>
          </w:p>
        </w:tc>
        <w:tc>
          <w:tcPr>
            <w:tcW w:w="61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Competencies</w:t>
            </w:r>
          </w:p>
        </w:tc>
      </w:tr>
      <w:tr w:rsidR="001A4FC0" w:rsidRPr="002D2856" w:rsidTr="00657D30">
        <w:trPr>
          <w:trHeight w:val="290"/>
        </w:trPr>
        <w:tc>
          <w:tcPr>
            <w:tcW w:w="5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8.1</w:t>
            </w:r>
          </w:p>
        </w:tc>
        <w:tc>
          <w:tcPr>
            <w:tcW w:w="27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Analyze career paths within the food production and food services industries.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8.1.1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Explain the roles, duties, and functions of individuals engaged in food production and services careers.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8.1.2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Analyze opportunities for employment and entrepreneurial endeavors.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8.1.3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Summarize education and training requirements and opportunities for career paths in food production and services.</w:t>
            </w:r>
          </w:p>
        </w:tc>
      </w:tr>
      <w:tr w:rsidR="001A4FC0" w:rsidRPr="002D2856" w:rsidTr="00657D30">
        <w:trPr>
          <w:trHeight w:val="271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8.1.4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Analyze the </w:t>
            </w:r>
            <w:r w:rsidR="001B6B09">
              <w:rPr>
                <w:rFonts w:eastAsia="Times New Roman" w:cs="Arial"/>
                <w:sz w:val="22"/>
                <w:szCs w:val="22"/>
                <w:lang w:bidi="ar-SA"/>
              </w:rPr>
              <w:t>correlation between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 food production and services occupations </w:t>
            </w:r>
            <w:r w:rsidR="001B6B09">
              <w:rPr>
                <w:rFonts w:eastAsia="Times New Roman" w:cs="Arial"/>
                <w:sz w:val="22"/>
                <w:szCs w:val="22"/>
                <w:lang w:bidi="ar-SA"/>
              </w:rPr>
              <w:t>and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 local, state, national, and global economies.</w:t>
            </w:r>
          </w:p>
        </w:tc>
      </w:tr>
      <w:tr w:rsidR="001A4FC0" w:rsidRPr="002D2856" w:rsidTr="00657D30">
        <w:trPr>
          <w:trHeight w:val="271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8.1.5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Create an employment portfolio </w:t>
            </w:r>
            <w:r w:rsidR="00EF6FD0">
              <w:rPr>
                <w:rFonts w:eastAsia="Times New Roman" w:cs="Arial"/>
                <w:sz w:val="22"/>
                <w:szCs w:val="22"/>
                <w:lang w:bidi="ar-SA"/>
              </w:rPr>
              <w:t>to communicate food production and services knowledge and skills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1A4FC0" w:rsidRPr="002D2856" w:rsidTr="00657D30">
        <w:trPr>
          <w:trHeight w:val="271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8.1.6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Analyze the role of professional organizations in food production and services</w:t>
            </w:r>
          </w:p>
        </w:tc>
      </w:tr>
      <w:tr w:rsidR="001A4FC0" w:rsidRPr="002D2856" w:rsidTr="00657D30">
        <w:trPr>
          <w:trHeight w:val="290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</w:tr>
      <w:tr w:rsidR="001A4FC0" w:rsidRPr="002D2856" w:rsidTr="00657D30">
        <w:trPr>
          <w:trHeight w:val="290"/>
        </w:trPr>
        <w:tc>
          <w:tcPr>
            <w:tcW w:w="5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8.2 </w:t>
            </w:r>
          </w:p>
        </w:tc>
        <w:tc>
          <w:tcPr>
            <w:tcW w:w="27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Demonstrate food safety and sanitation procedures.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8.2.1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Identify characteristics of major </w:t>
            </w:r>
            <w:r w:rsidR="000B29CE">
              <w:rPr>
                <w:rFonts w:eastAsia="Times New Roman" w:cs="Arial"/>
                <w:sz w:val="22"/>
                <w:szCs w:val="22"/>
                <w:lang w:bidi="ar-SA"/>
              </w:rPr>
              <w:t xml:space="preserve">foodborne 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pathogens, their role in causing illness, foods involved in outbreaks, and methods of prevention.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8.2.2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Employ food service management safety/sanitation program procedures, including CPR and first aid.</w:t>
            </w:r>
          </w:p>
        </w:tc>
      </w:tr>
      <w:tr w:rsidR="001A4FC0" w:rsidRPr="002D2856" w:rsidTr="00657D30">
        <w:trPr>
          <w:trHeight w:val="271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8.2.3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Use knowledge of systems for documenting, investigating, reporting, and preventing </w:t>
            </w:r>
            <w:r w:rsidR="0059775A">
              <w:rPr>
                <w:rFonts w:eastAsia="Times New Roman" w:cs="Arial"/>
                <w:sz w:val="22"/>
                <w:szCs w:val="22"/>
                <w:lang w:bidi="ar-SA"/>
              </w:rPr>
              <w:t xml:space="preserve">foodborne </w:t>
            </w:r>
            <w:r w:rsidR="0059775A" w:rsidRPr="002D2856">
              <w:rPr>
                <w:rFonts w:eastAsia="Times New Roman" w:cs="Arial"/>
                <w:sz w:val="22"/>
                <w:szCs w:val="22"/>
                <w:lang w:bidi="ar-SA"/>
              </w:rPr>
              <w:t>illness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8.2.4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Use the Hazard Analysis Critical Control Point (HACCP) and crisis management principles and procedures during food handling processes to minimize the risks of </w:t>
            </w:r>
            <w:r w:rsidR="0059775A">
              <w:rPr>
                <w:rFonts w:eastAsia="Times New Roman" w:cs="Arial"/>
                <w:sz w:val="22"/>
                <w:szCs w:val="22"/>
                <w:lang w:bidi="ar-SA"/>
              </w:rPr>
              <w:t xml:space="preserve">foodborne </w:t>
            </w:r>
            <w:r w:rsidR="0059775A" w:rsidRPr="002D2856">
              <w:rPr>
                <w:rFonts w:eastAsia="Times New Roman" w:cs="Arial"/>
                <w:sz w:val="22"/>
                <w:szCs w:val="22"/>
                <w:lang w:bidi="ar-SA"/>
              </w:rPr>
              <w:t>illness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8.2.5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Practice </w:t>
            </w:r>
            <w:r w:rsidR="000B29CE">
              <w:rPr>
                <w:rFonts w:eastAsia="Times New Roman" w:cs="Arial"/>
                <w:sz w:val="22"/>
                <w:szCs w:val="22"/>
                <w:lang w:bidi="ar-SA"/>
              </w:rPr>
              <w:t>standard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 personal hygiene</w:t>
            </w:r>
            <w:r w:rsidR="001B6B09">
              <w:rPr>
                <w:rFonts w:eastAsia="Times New Roman" w:cs="Arial"/>
                <w:sz w:val="22"/>
                <w:szCs w:val="22"/>
                <w:lang w:bidi="ar-SA"/>
              </w:rPr>
              <w:t xml:space="preserve"> and wellness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 procedures</w:t>
            </w:r>
            <w:r w:rsidR="0059775A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8.2.6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Demonstrate proper purchasing, receiving, storage, and handling of both raw and prepared foods.</w:t>
            </w:r>
            <w:r w:rsidR="001B6B09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</w:p>
        </w:tc>
      </w:tr>
      <w:tr w:rsidR="001A4FC0" w:rsidRPr="002D2856" w:rsidTr="00657D30">
        <w:trPr>
          <w:trHeight w:val="271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8.2.7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Demonstrate safe food handling and preparation techniques that prevent cross contamination from potentially hazardous foods</w:t>
            </w:r>
            <w:r w:rsidR="004D1BBE">
              <w:rPr>
                <w:rFonts w:eastAsia="Times New Roman" w:cs="Arial"/>
                <w:sz w:val="22"/>
                <w:szCs w:val="22"/>
                <w:lang w:bidi="ar-SA"/>
              </w:rPr>
              <w:t xml:space="preserve"> and food groups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8.2.8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Analyze current types of cleaning </w:t>
            </w:r>
            <w:r w:rsidR="001B6B09">
              <w:rPr>
                <w:rFonts w:eastAsia="Times New Roman" w:cs="Arial"/>
                <w:sz w:val="22"/>
                <w:szCs w:val="22"/>
                <w:lang w:bidi="ar-SA"/>
              </w:rPr>
              <w:t xml:space="preserve">and sanitizing </w:t>
            </w:r>
            <w:r w:rsidR="0059775A" w:rsidRPr="002D2856">
              <w:rPr>
                <w:rFonts w:eastAsia="Times New Roman" w:cs="Arial"/>
                <w:sz w:val="22"/>
                <w:szCs w:val="22"/>
                <w:lang w:bidi="ar-SA"/>
              </w:rPr>
              <w:t>materials for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 proper use</w:t>
            </w:r>
            <w:r w:rsidR="001B6B09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8.2.9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Use</w:t>
            </w:r>
            <w:r w:rsidR="00B74045">
              <w:rPr>
                <w:rFonts w:eastAsia="Times New Roman" w:cs="Arial"/>
                <w:sz w:val="22"/>
                <w:szCs w:val="22"/>
                <w:lang w:bidi="ar-SA"/>
              </w:rPr>
              <w:t xml:space="preserve"> the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 Occupational Safety and Health Administration (OSHA) Right to Know Law and Materials Safety Data Sheets (MSDS) and explain their requirements in safe handling and storage of hazardous materials.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8.2.10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Demonstrate safe and environmentally responsible waste disposal and recycling methods.</w:t>
            </w:r>
          </w:p>
        </w:tc>
      </w:tr>
      <w:tr w:rsidR="001A4FC0" w:rsidRPr="002D2856" w:rsidTr="00657D30">
        <w:trPr>
          <w:trHeight w:val="271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8.2.11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Demonstrate ability to maintain necessary records to document time and temperature control, HACCP, employee health, maintenance of equipment, and other elements of food preparation, storage, and presentation.</w:t>
            </w:r>
          </w:p>
        </w:tc>
      </w:tr>
      <w:tr w:rsidR="00006083" w:rsidRPr="002D2856" w:rsidTr="00657D30">
        <w:trPr>
          <w:trHeight w:val="290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83" w:rsidRPr="002D2856" w:rsidRDefault="00006083" w:rsidP="00DF0981">
            <w:pPr>
              <w:rPr>
                <w:rFonts w:eastAsia="Times New Roman" w:cs="Arial"/>
                <w:sz w:val="22"/>
                <w:szCs w:val="22"/>
                <w:lang w:bidi="ar-SA"/>
              </w:rPr>
            </w:pP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83" w:rsidRPr="002D2856" w:rsidRDefault="00006083" w:rsidP="00DF0981">
            <w:pPr>
              <w:rPr>
                <w:rFonts w:eastAsia="Times New Roman" w:cs="Arial"/>
                <w:sz w:val="22"/>
                <w:szCs w:val="22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83" w:rsidRPr="002D2856" w:rsidRDefault="00006083" w:rsidP="00DF0981">
            <w:pPr>
              <w:rPr>
                <w:rFonts w:eastAsia="Times New Roman" w:cs="Arial"/>
                <w:sz w:val="22"/>
                <w:szCs w:val="22"/>
                <w:lang w:bidi="ar-SA"/>
              </w:rPr>
            </w:pP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083" w:rsidRPr="002D2856" w:rsidRDefault="00006083" w:rsidP="00DF0981">
            <w:pPr>
              <w:rPr>
                <w:rFonts w:eastAsia="Times New Roman" w:cs="Arial"/>
                <w:sz w:val="22"/>
                <w:szCs w:val="22"/>
                <w:lang w:bidi="ar-SA"/>
              </w:rPr>
            </w:pPr>
          </w:p>
        </w:tc>
      </w:tr>
      <w:tr w:rsidR="001A4FC0" w:rsidRPr="002D2856" w:rsidTr="00657D30">
        <w:trPr>
          <w:trHeight w:val="290"/>
        </w:trPr>
        <w:tc>
          <w:tcPr>
            <w:tcW w:w="5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8.3</w:t>
            </w:r>
          </w:p>
        </w:tc>
        <w:tc>
          <w:tcPr>
            <w:tcW w:w="27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Demonstrate industry standards in selecting, using, and maintaining food production and food service equipment.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8.3.1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Operate</w:t>
            </w:r>
            <w:r w:rsidR="009E44D5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tools and equipment following safety procedures</w:t>
            </w:r>
            <w:r w:rsidR="00230F56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and OSHA requirements.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8.3.2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Maintain tools and equipment following safety procedures and OSHA requirements.</w:t>
            </w:r>
            <w:r w:rsidR="001B6B09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8.3.3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Demonstrate procedures for cleaning and sanitizing equipment, serving dishes, glassware, and utensils to meet industry standards and OSHA requirements.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8.3.4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Analyze equipment purchases based on long-term business needs, specific regulations, and codes related to foods.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8.3.5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Demonstrate procedures for safe and secure storage of equipment and tools.</w:t>
            </w:r>
            <w:r w:rsidR="009E44D5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8.3.6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Identify a variety of types of equipment for food processing, cooking, holding, storing, and serving</w:t>
            </w:r>
            <w:r w:rsidR="002066CA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FA18D7" w:rsidRPr="002D2856" w:rsidTr="00657D30">
        <w:trPr>
          <w:trHeight w:val="290"/>
        </w:trPr>
        <w:tc>
          <w:tcPr>
            <w:tcW w:w="5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lastRenderedPageBreak/>
              <w:t>8.4</w:t>
            </w:r>
          </w:p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27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Demonstrate menu planning principles and techniques based on standardized recipes to meet customer needs.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8.4.1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Use computer based menu systems to develop and modify menus.</w:t>
            </w:r>
          </w:p>
        </w:tc>
      </w:tr>
      <w:tr w:rsidR="00FA18D7" w:rsidRPr="002D2856" w:rsidTr="00657D30">
        <w:trPr>
          <w:trHeight w:val="290"/>
        </w:trPr>
        <w:tc>
          <w:tcPr>
            <w:tcW w:w="545" w:type="dxa"/>
            <w:vMerge/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8.4.2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Apply menu-planning principles to develop and modify menus.</w:t>
            </w:r>
          </w:p>
        </w:tc>
      </w:tr>
      <w:tr w:rsidR="00FA18D7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8.4.3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Analyze food, equipment, and supplies needed for menu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production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FA18D7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8.4.4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Develop a variety of menu layouts, themes, and design styles.</w:t>
            </w:r>
          </w:p>
        </w:tc>
      </w:tr>
      <w:tr w:rsidR="00FA18D7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8.4.5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Prepare requisitions for food, equipment, and supplies to meet production requirements.</w:t>
            </w:r>
          </w:p>
        </w:tc>
      </w:tr>
      <w:tr w:rsidR="00FA18D7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8.4.6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Record performance of menu items to analyze sales and determine menu revisions.</w:t>
            </w:r>
          </w:p>
        </w:tc>
      </w:tr>
      <w:tr w:rsidR="00FA18D7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8.4.7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8D7" w:rsidRPr="002D2856" w:rsidRDefault="00FA18D7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Apply principles of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m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easurement,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p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ortion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c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ontrol,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c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onversions,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f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ood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c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ost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a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nalysis and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c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ontrol,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m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enu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t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erminology, and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m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enu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p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ricing to menu planning.</w:t>
            </w:r>
          </w:p>
        </w:tc>
      </w:tr>
      <w:tr w:rsidR="001A4FC0" w:rsidRPr="002D2856" w:rsidTr="00657D30">
        <w:trPr>
          <w:trHeight w:val="290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</w:tr>
      <w:tr w:rsidR="001A4FC0" w:rsidRPr="002D2856" w:rsidTr="00657D30">
        <w:trPr>
          <w:trHeight w:val="290"/>
        </w:trPr>
        <w:tc>
          <w:tcPr>
            <w:tcW w:w="5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8.5</w:t>
            </w:r>
          </w:p>
        </w:tc>
        <w:tc>
          <w:tcPr>
            <w:tcW w:w="27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Demonstrate professional food preparation methods and techniques for all menu categories to produce a variety of food products that meet customer needs.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8.5.1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Demonstrate professional skills in safe handling of knives, tools, and equipment.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8.5.2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Demonstrate professional skill for a variety of cooking methods including roasting, broiling, smoking, grilling, </w:t>
            </w:r>
            <w:r w:rsidR="00C97A96">
              <w:rPr>
                <w:rFonts w:eastAsia="Times New Roman" w:cs="Arial"/>
                <w:sz w:val="22"/>
                <w:szCs w:val="22"/>
                <w:lang w:bidi="ar-SA"/>
              </w:rPr>
              <w:t>sautéing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, pan frying, deep frying, braising, stewing, poaching, steaming, and baking using professional equipment and current technologies.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8.5.3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9E44D5" w:rsidP="00DF0981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>D</w:t>
            </w:r>
            <w:r w:rsidR="001A4FC0" w:rsidRPr="002D2856">
              <w:rPr>
                <w:rFonts w:eastAsia="Times New Roman" w:cs="Arial"/>
                <w:sz w:val="22"/>
                <w:szCs w:val="22"/>
                <w:lang w:bidi="ar-SA"/>
              </w:rPr>
              <w:t>emonstrate knowledge of portion control and proper scaling and measurement techniques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8.5.4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Apply the fundamentals of time, temperature, and cooking methods to cooking, cooling, reheating, and holding of </w:t>
            </w:r>
            <w:r w:rsidR="0074364D">
              <w:rPr>
                <w:rFonts w:eastAsia="Times New Roman" w:cs="Arial"/>
                <w:sz w:val="22"/>
                <w:szCs w:val="22"/>
                <w:lang w:bidi="ar-SA"/>
              </w:rPr>
              <w:t xml:space="preserve">a 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variety of foods.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8.5.5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Prepare various meats, seafood, and poultry using safe handling and professional preparation techniques.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8.5.6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Prepare various stocks, soups, and sauces using safe handling and professional preparation techniques.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8.5.7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Prepare various fruits, vegetables, starches, legumes, dairy products, fats, and oils using safe handling and professional preparation techniques.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8.5.8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Prepare various salads, dressings, marinades, and spices using safe handling and professional preparation techniques.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8.5.9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Prepare sandwiches, </w:t>
            </w:r>
            <w:r w:rsidR="00996086">
              <w:rPr>
                <w:rFonts w:eastAsia="Times New Roman" w:cs="Arial"/>
                <w:sz w:val="22"/>
                <w:szCs w:val="22"/>
                <w:lang w:bidi="ar-SA"/>
              </w:rPr>
              <w:t>canape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s and appetizers using safe handling and professional preparation techniques.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8.5.10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Prepare breads, baked goods and desserts using safe handling and professional preparation techniques.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8.5.11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Prepare breakfast meats, eggs, cereals, and batter products using safe handling and professional preparation techniques.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8.5.12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Demonstrate professional plating, garnishing, and food presentation techniques.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8.5.13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9F0B92" w:rsidP="00DF0981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>Integrate</w:t>
            </w:r>
            <w:r w:rsidR="00214371">
              <w:rPr>
                <w:rFonts w:eastAsia="Times New Roman" w:cs="Arial"/>
                <w:sz w:val="22"/>
                <w:szCs w:val="22"/>
                <w:lang w:bidi="ar-SA"/>
              </w:rPr>
              <w:t xml:space="preserve"> sustainab</w:t>
            </w:r>
            <w:r w:rsidR="008F284C">
              <w:rPr>
                <w:rFonts w:eastAsia="Times New Roman" w:cs="Arial"/>
                <w:sz w:val="22"/>
                <w:szCs w:val="22"/>
                <w:lang w:bidi="ar-SA"/>
              </w:rPr>
              <w:t>ility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in </w:t>
            </w:r>
            <w:r w:rsidR="008F284C">
              <w:rPr>
                <w:rFonts w:eastAsia="Times New Roman" w:cs="Arial"/>
                <w:sz w:val="22"/>
                <w:szCs w:val="22"/>
                <w:lang w:bidi="ar-SA"/>
              </w:rPr>
              <w:t xml:space="preserve">food production and services including menu planning;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acquisition, preparation, </w:t>
            </w:r>
            <w:r w:rsidR="008F284C">
              <w:rPr>
                <w:rFonts w:eastAsia="Times New Roman" w:cs="Arial"/>
                <w:sz w:val="22"/>
                <w:szCs w:val="22"/>
                <w:lang w:bidi="ar-SA"/>
              </w:rPr>
              <w:t xml:space="preserve">and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serving </w:t>
            </w:r>
            <w:r w:rsidR="008F284C">
              <w:rPr>
                <w:rFonts w:eastAsia="Times New Roman" w:cs="Arial"/>
                <w:sz w:val="22"/>
                <w:szCs w:val="22"/>
                <w:lang w:bidi="ar-SA"/>
              </w:rPr>
              <w:t xml:space="preserve">of </w:t>
            </w:r>
            <w:r w:rsidR="0059775A">
              <w:rPr>
                <w:rFonts w:eastAsia="Times New Roman" w:cs="Arial"/>
                <w:sz w:val="22"/>
                <w:szCs w:val="22"/>
                <w:lang w:bidi="ar-SA"/>
              </w:rPr>
              <w:t>food</w:t>
            </w:r>
            <w:r w:rsidR="008F284C">
              <w:rPr>
                <w:rFonts w:eastAsia="Times New Roman" w:cs="Arial"/>
                <w:sz w:val="22"/>
                <w:szCs w:val="22"/>
                <w:lang w:bidi="ar-SA"/>
              </w:rPr>
              <w:t xml:space="preserve">; storage; </w:t>
            </w:r>
            <w:r w:rsidR="00925527">
              <w:rPr>
                <w:rFonts w:eastAsia="Times New Roman" w:cs="Arial"/>
                <w:sz w:val="22"/>
                <w:szCs w:val="22"/>
                <w:lang w:bidi="ar-SA"/>
              </w:rPr>
              <w:t xml:space="preserve">and </w:t>
            </w:r>
            <w:r w:rsidR="008F284C">
              <w:rPr>
                <w:rFonts w:eastAsia="Times New Roman" w:cs="Arial"/>
                <w:sz w:val="22"/>
                <w:szCs w:val="22"/>
                <w:lang w:bidi="ar-SA"/>
              </w:rPr>
              <w:t>recycling and waste management.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8.5.14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Demonstrate cooking methods that increase nutritional value, lower calorie and fat content, and utilize herbs and spices to enhance flavor.</w:t>
            </w:r>
          </w:p>
        </w:tc>
      </w:tr>
      <w:tr w:rsidR="001A4FC0" w:rsidRPr="002D2856" w:rsidTr="00657D30">
        <w:trPr>
          <w:trHeight w:val="290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</w:tr>
      <w:tr w:rsidR="001A4FC0" w:rsidRPr="002D2856" w:rsidTr="00657D30">
        <w:trPr>
          <w:trHeight w:val="290"/>
        </w:trPr>
        <w:tc>
          <w:tcPr>
            <w:tcW w:w="5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8.6</w:t>
            </w:r>
          </w:p>
        </w:tc>
        <w:tc>
          <w:tcPr>
            <w:tcW w:w="27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Demonstrate implementation of food service management and leadership functions.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8.6.1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Apply principles of purchasing, receiving,  and storing in food service operations.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8.6.2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Practice inventory procedures including first in/first out concept, date marking, and specific record keeping.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8.6.3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Apply accounting procedures in planning and forecasting profit and loss.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8.6.4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Examine the areas of risk management and legal liability within the food service industry.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8.6.5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Apply human resource policies including rules, regulations, laws, hiring, compensation, overtime, discrimination, and harassment.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8.6.6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Apply the procedures involved in staff planning, recruiting, interviewing, selecting, scheduling, performance reviewing, and terminating of employees.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8.6.7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Conduct staff orientation,</w:t>
            </w:r>
            <w:r w:rsidR="009E44D5">
              <w:rPr>
                <w:rFonts w:eastAsia="Times New Roman" w:cs="Arial"/>
                <w:sz w:val="22"/>
                <w:szCs w:val="22"/>
                <w:lang w:bidi="ar-SA"/>
              </w:rPr>
              <w:t xml:space="preserve"> initial training and education</w:t>
            </w:r>
            <w:r w:rsidR="00507390">
              <w:rPr>
                <w:rFonts w:eastAsia="Times New Roman" w:cs="Arial"/>
                <w:sz w:val="22"/>
                <w:szCs w:val="22"/>
                <w:lang w:bidi="ar-SA"/>
              </w:rPr>
              <w:t>,</w:t>
            </w:r>
            <w:r w:rsidR="009E44D5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="00925527">
              <w:rPr>
                <w:rFonts w:eastAsia="Times New Roman" w:cs="Arial"/>
                <w:sz w:val="22"/>
                <w:szCs w:val="22"/>
                <w:lang w:bidi="ar-SA"/>
              </w:rPr>
              <w:t xml:space="preserve">consistent reinforcement of training principles, </w:t>
            </w:r>
            <w:r w:rsidR="009E44D5">
              <w:rPr>
                <w:rFonts w:eastAsia="Times New Roman" w:cs="Arial"/>
                <w:sz w:val="22"/>
                <w:szCs w:val="22"/>
                <w:lang w:bidi="ar-SA"/>
              </w:rPr>
              <w:t>and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 on the job training/retraining.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8.6.8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Implement marketing plan</w:t>
            </w:r>
            <w:r w:rsidR="00E4525D">
              <w:rPr>
                <w:rFonts w:eastAsia="Times New Roman" w:cs="Arial"/>
                <w:sz w:val="22"/>
                <w:szCs w:val="22"/>
                <w:lang w:bidi="ar-SA"/>
              </w:rPr>
              <w:t>s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 for food service operations.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8.6.9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Design internal/external crisis management and disaster plans and response procedures.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8.6.10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Apply principles of inventory management, labor cost and control techniques, production planning and control, </w:t>
            </w:r>
            <w:r w:rsidR="008F284C">
              <w:rPr>
                <w:rFonts w:eastAsia="Times New Roman" w:cs="Arial"/>
                <w:sz w:val="22"/>
                <w:szCs w:val="22"/>
                <w:lang w:bidi="ar-SA"/>
              </w:rPr>
              <w:t xml:space="preserve">sustainability, 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and facilities management to </w:t>
            </w:r>
            <w:r w:rsidR="006B1475">
              <w:rPr>
                <w:rFonts w:eastAsia="Times New Roman" w:cs="Arial"/>
                <w:sz w:val="22"/>
                <w:szCs w:val="22"/>
                <w:lang w:bidi="ar-SA"/>
              </w:rPr>
              <w:t xml:space="preserve">planning and 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front and back of the house operations.</w:t>
            </w:r>
          </w:p>
        </w:tc>
      </w:tr>
      <w:tr w:rsidR="001A4FC0" w:rsidRPr="002D2856" w:rsidTr="00657D30">
        <w:trPr>
          <w:trHeight w:val="290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083" w:rsidRDefault="00006083" w:rsidP="00DF0981">
            <w:pPr>
              <w:rPr>
                <w:rFonts w:eastAsia="Times New Roman"/>
                <w:sz w:val="22"/>
                <w:szCs w:val="22"/>
                <w:lang w:bidi="ar-SA"/>
              </w:rPr>
            </w:pPr>
            <w:bookmarkStart w:id="1" w:name="_GoBack"/>
            <w:bookmarkEnd w:id="1"/>
          </w:p>
          <w:p w:rsidR="00006083" w:rsidRPr="002D2856" w:rsidRDefault="00006083" w:rsidP="00DF0981">
            <w:pPr>
              <w:rPr>
                <w:rFonts w:eastAsia="Times New Roman"/>
                <w:lang w:bidi="ar-SA"/>
              </w:rPr>
            </w:pPr>
          </w:p>
        </w:tc>
      </w:tr>
      <w:tr w:rsidR="001A4FC0" w:rsidRPr="002D2856" w:rsidTr="00657D30">
        <w:trPr>
          <w:trHeight w:val="290"/>
        </w:trPr>
        <w:tc>
          <w:tcPr>
            <w:tcW w:w="5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lastRenderedPageBreak/>
              <w:t>8.7</w:t>
            </w:r>
          </w:p>
        </w:tc>
        <w:tc>
          <w:tcPr>
            <w:tcW w:w="27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Demonstrate the concept of internal and external customer service.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8.7.1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Analyze the role of quality service as a strategic component of exceptional performance.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8.7.2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Demonstrate quality service</w:t>
            </w:r>
            <w:r w:rsidR="009F0B92">
              <w:rPr>
                <w:rFonts w:eastAsia="Times New Roman" w:cs="Arial"/>
                <w:sz w:val="22"/>
                <w:szCs w:val="22"/>
                <w:lang w:bidi="ar-SA"/>
              </w:rPr>
              <w:t xml:space="preserve"> techniques and procedure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s that meet industry standards in the food service industry.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8.7.3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Analyze the relationship between employee</w:t>
            </w:r>
            <w:r w:rsidR="009F0B92">
              <w:rPr>
                <w:rFonts w:eastAsia="Times New Roman" w:cs="Arial"/>
                <w:sz w:val="22"/>
                <w:szCs w:val="22"/>
                <w:lang w:bidi="ar-SA"/>
              </w:rPr>
              <w:t xml:space="preserve"> attitude and skills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 and customer satisfaction.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8.7.4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Apply </w:t>
            </w:r>
            <w:r w:rsidR="0059775A">
              <w:rPr>
                <w:rFonts w:eastAsia="Times New Roman" w:cs="Arial"/>
                <w:sz w:val="22"/>
                <w:szCs w:val="22"/>
                <w:lang w:bidi="ar-SA"/>
              </w:rPr>
              <w:t xml:space="preserve">procedures </w:t>
            </w:r>
            <w:r w:rsidR="0059775A" w:rsidRPr="002D2856">
              <w:rPr>
                <w:rFonts w:eastAsia="Times New Roman" w:cs="Arial"/>
                <w:sz w:val="22"/>
                <w:szCs w:val="22"/>
                <w:lang w:bidi="ar-SA"/>
              </w:rPr>
              <w:t>for</w:t>
            </w: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 xml:space="preserve"> addressing and resolving complaints.</w:t>
            </w:r>
          </w:p>
        </w:tc>
      </w:tr>
      <w:tr w:rsidR="001A4FC0" w:rsidRPr="002D2856" w:rsidTr="00657D3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8.7.5</w:t>
            </w:r>
          </w:p>
        </w:tc>
        <w:tc>
          <w:tcPr>
            <w:tcW w:w="5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FC0" w:rsidRPr="002D2856" w:rsidRDefault="001A4FC0" w:rsidP="00DF0981">
            <w:pPr>
              <w:rPr>
                <w:rFonts w:eastAsia="Times New Roman"/>
                <w:lang w:bidi="ar-SA"/>
              </w:rPr>
            </w:pPr>
            <w:r w:rsidRPr="002D2856">
              <w:rPr>
                <w:rFonts w:eastAsia="Times New Roman" w:cs="Arial"/>
                <w:sz w:val="22"/>
                <w:szCs w:val="22"/>
                <w:lang w:bidi="ar-SA"/>
              </w:rPr>
              <w:t>Demonstrate sensitivity to diversity and special needs.</w:t>
            </w:r>
          </w:p>
        </w:tc>
      </w:tr>
    </w:tbl>
    <w:p w:rsidR="004E3EBB" w:rsidRDefault="004E3EBB"/>
    <w:sectPr w:rsidR="004E3EBB" w:rsidSect="004E3E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64C" w:rsidRDefault="00C7064C" w:rsidP="00657D30">
      <w:r>
        <w:separator/>
      </w:r>
    </w:p>
  </w:endnote>
  <w:endnote w:type="continuationSeparator" w:id="0">
    <w:p w:rsidR="00C7064C" w:rsidRDefault="00C7064C" w:rsidP="0065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23" w:rsidRDefault="00EC0723" w:rsidP="00657D30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bookmarkStart w:id="2" w:name="_Hlk481867084"/>
    <w:bookmarkStart w:id="3" w:name="_Hlk481867085"/>
    <w:r>
      <w:rPr>
        <w:sz w:val="22"/>
        <w:szCs w:val="22"/>
      </w:rPr>
      <w:t>FCS Standards 3.0 (NASAFACS 2018)</w:t>
    </w:r>
  </w:p>
  <w:p w:rsidR="00657D30" w:rsidRPr="00657D30" w:rsidRDefault="00657D30" w:rsidP="00657D30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r w:rsidRPr="00BE2588">
      <w:rPr>
        <w:sz w:val="22"/>
        <w:szCs w:val="22"/>
      </w:rPr>
      <w:t xml:space="preserve">Area of Study </w:t>
    </w:r>
    <w:r>
      <w:rPr>
        <w:sz w:val="22"/>
        <w:szCs w:val="22"/>
      </w:rPr>
      <w:t>8 Food Production and Services</w:t>
    </w:r>
    <w:r w:rsidRPr="00BE2588">
      <w:rPr>
        <w:sz w:val="22"/>
        <w:szCs w:val="22"/>
      </w:rPr>
      <w:t xml:space="preserve">, </w:t>
    </w:r>
    <w:r w:rsidR="00925527">
      <w:rPr>
        <w:sz w:val="22"/>
        <w:szCs w:val="22"/>
      </w:rPr>
      <w:t>June</w:t>
    </w:r>
    <w:r w:rsidRPr="00BE2588">
      <w:rPr>
        <w:sz w:val="22"/>
        <w:szCs w:val="22"/>
      </w:rPr>
      <w:t xml:space="preserve"> </w:t>
    </w:r>
    <w:r w:rsidR="002B587B">
      <w:rPr>
        <w:sz w:val="22"/>
        <w:szCs w:val="22"/>
      </w:rPr>
      <w:t>9</w:t>
    </w:r>
    <w:r w:rsidRPr="00BE2588">
      <w:rPr>
        <w:sz w:val="22"/>
        <w:szCs w:val="22"/>
      </w:rPr>
      <w:t xml:space="preserve">, 2017, </w:t>
    </w:r>
    <w:r w:rsidRPr="00BE2588">
      <w:rPr>
        <w:i/>
        <w:sz w:val="22"/>
        <w:szCs w:val="22"/>
      </w:rPr>
      <w:t xml:space="preserve">page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PAGE  \* Arabic  \* MERGEFORMAT </w:instrText>
    </w:r>
    <w:r w:rsidRPr="00BE2588">
      <w:rPr>
        <w:bCs/>
        <w:i/>
        <w:sz w:val="22"/>
        <w:szCs w:val="22"/>
      </w:rPr>
      <w:fldChar w:fldCharType="separate"/>
    </w:r>
    <w:r w:rsidR="006E174B">
      <w:rPr>
        <w:bCs/>
        <w:i/>
        <w:noProof/>
        <w:sz w:val="22"/>
        <w:szCs w:val="22"/>
      </w:rPr>
      <w:t>5</w:t>
    </w:r>
    <w:r w:rsidRPr="00BE2588">
      <w:rPr>
        <w:bCs/>
        <w:i/>
        <w:sz w:val="22"/>
        <w:szCs w:val="22"/>
      </w:rPr>
      <w:fldChar w:fldCharType="end"/>
    </w:r>
    <w:r w:rsidRPr="00BE2588">
      <w:rPr>
        <w:i/>
        <w:sz w:val="22"/>
        <w:szCs w:val="22"/>
      </w:rPr>
      <w:t xml:space="preserve"> of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NUMPAGES  \* Arabic  \* MERGEFORMAT </w:instrText>
    </w:r>
    <w:r w:rsidRPr="00BE2588">
      <w:rPr>
        <w:bCs/>
        <w:i/>
        <w:sz w:val="22"/>
        <w:szCs w:val="22"/>
      </w:rPr>
      <w:fldChar w:fldCharType="separate"/>
    </w:r>
    <w:r w:rsidR="006E174B">
      <w:rPr>
        <w:bCs/>
        <w:i/>
        <w:noProof/>
        <w:sz w:val="22"/>
        <w:szCs w:val="22"/>
      </w:rPr>
      <w:t>5</w:t>
    </w:r>
    <w:r w:rsidRPr="00BE2588">
      <w:rPr>
        <w:bCs/>
        <w:i/>
        <w:sz w:val="22"/>
        <w:szCs w:val="22"/>
      </w:rPr>
      <w:fldChar w:fldCharType="end"/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64C" w:rsidRDefault="00C7064C" w:rsidP="00657D30">
      <w:r>
        <w:separator/>
      </w:r>
    </w:p>
  </w:footnote>
  <w:footnote w:type="continuationSeparator" w:id="0">
    <w:p w:rsidR="00C7064C" w:rsidRDefault="00C7064C" w:rsidP="0065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B2740"/>
    <w:multiLevelType w:val="hybridMultilevel"/>
    <w:tmpl w:val="FCD06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79"/>
    <w:rsid w:val="00006083"/>
    <w:rsid w:val="00067E7A"/>
    <w:rsid w:val="000B29CE"/>
    <w:rsid w:val="001106E7"/>
    <w:rsid w:val="00154AAD"/>
    <w:rsid w:val="001A4FC0"/>
    <w:rsid w:val="001B5B4C"/>
    <w:rsid w:val="001B6B09"/>
    <w:rsid w:val="002066CA"/>
    <w:rsid w:val="00214371"/>
    <w:rsid w:val="00230F56"/>
    <w:rsid w:val="002B587B"/>
    <w:rsid w:val="002D2856"/>
    <w:rsid w:val="004D1BBE"/>
    <w:rsid w:val="004E3EBB"/>
    <w:rsid w:val="004F1A3E"/>
    <w:rsid w:val="00507390"/>
    <w:rsid w:val="005331F8"/>
    <w:rsid w:val="005676FF"/>
    <w:rsid w:val="0059775A"/>
    <w:rsid w:val="005D3DA1"/>
    <w:rsid w:val="0061552C"/>
    <w:rsid w:val="00657D30"/>
    <w:rsid w:val="006B1475"/>
    <w:rsid w:val="006E174B"/>
    <w:rsid w:val="0073169D"/>
    <w:rsid w:val="0074364D"/>
    <w:rsid w:val="008009AE"/>
    <w:rsid w:val="00891479"/>
    <w:rsid w:val="008A6618"/>
    <w:rsid w:val="008F284C"/>
    <w:rsid w:val="00913488"/>
    <w:rsid w:val="00925527"/>
    <w:rsid w:val="00996086"/>
    <w:rsid w:val="009B3E2C"/>
    <w:rsid w:val="009E44D5"/>
    <w:rsid w:val="009F0B92"/>
    <w:rsid w:val="00A82908"/>
    <w:rsid w:val="00B74045"/>
    <w:rsid w:val="00BA652F"/>
    <w:rsid w:val="00C7064C"/>
    <w:rsid w:val="00C97A96"/>
    <w:rsid w:val="00CD4DD2"/>
    <w:rsid w:val="00DF0981"/>
    <w:rsid w:val="00E2316B"/>
    <w:rsid w:val="00E4525D"/>
    <w:rsid w:val="00EC0723"/>
    <w:rsid w:val="00EF6FD0"/>
    <w:rsid w:val="00F56720"/>
    <w:rsid w:val="00FA18D7"/>
    <w:rsid w:val="00FB6B3A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73C5"/>
  <w15:chartTrackingRefBased/>
  <w15:docId w15:val="{48E9260A-EB3E-4CC9-9B37-47693131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3DA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D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D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D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DA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3D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D3D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D3D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D3DA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D3DA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D3DA1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5D3DA1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D3DA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D3DA1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D3D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D3D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DA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D3DA1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5D3DA1"/>
    <w:rPr>
      <w:b/>
      <w:bCs/>
    </w:rPr>
  </w:style>
  <w:style w:type="character" w:styleId="Emphasis">
    <w:name w:val="Emphasis"/>
    <w:uiPriority w:val="20"/>
    <w:qFormat/>
    <w:rsid w:val="005D3DA1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D3DA1"/>
    <w:rPr>
      <w:szCs w:val="32"/>
    </w:rPr>
  </w:style>
  <w:style w:type="character" w:customStyle="1" w:styleId="NoSpacingChar">
    <w:name w:val="No Spacing Char"/>
    <w:link w:val="NoSpacing"/>
    <w:uiPriority w:val="1"/>
    <w:rsid w:val="005D3DA1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5D3D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3DA1"/>
    <w:rPr>
      <w:i/>
    </w:rPr>
  </w:style>
  <w:style w:type="character" w:customStyle="1" w:styleId="QuoteChar">
    <w:name w:val="Quote Char"/>
    <w:link w:val="Quote"/>
    <w:uiPriority w:val="29"/>
    <w:rsid w:val="005D3D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D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D3DA1"/>
    <w:rPr>
      <w:b/>
      <w:i/>
      <w:sz w:val="24"/>
    </w:rPr>
  </w:style>
  <w:style w:type="character" w:styleId="SubtleEmphasis">
    <w:name w:val="Subtle Emphasis"/>
    <w:uiPriority w:val="19"/>
    <w:qFormat/>
    <w:rsid w:val="005D3DA1"/>
    <w:rPr>
      <w:i/>
      <w:color w:val="5A5A5A"/>
    </w:rPr>
  </w:style>
  <w:style w:type="character" w:styleId="IntenseEmphasis">
    <w:name w:val="Intense Emphasis"/>
    <w:uiPriority w:val="21"/>
    <w:qFormat/>
    <w:rsid w:val="005D3DA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D3DA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D3DA1"/>
    <w:rPr>
      <w:b/>
      <w:sz w:val="24"/>
      <w:u w:val="single"/>
    </w:rPr>
  </w:style>
  <w:style w:type="character" w:styleId="BookTitle">
    <w:name w:val="Book Title"/>
    <w:uiPriority w:val="33"/>
    <w:qFormat/>
    <w:rsid w:val="005D3DA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DA1"/>
    <w:pPr>
      <w:outlineLvl w:val="9"/>
    </w:pPr>
  </w:style>
  <w:style w:type="character" w:customStyle="1" w:styleId="apple-converted-space">
    <w:name w:val="apple-converted-space"/>
    <w:basedOn w:val="DefaultParagraphFont"/>
    <w:rsid w:val="00A82908"/>
  </w:style>
  <w:style w:type="paragraph" w:styleId="BalloonText">
    <w:name w:val="Balloon Text"/>
    <w:basedOn w:val="Normal"/>
    <w:link w:val="BalloonTextChar"/>
    <w:uiPriority w:val="99"/>
    <w:semiHidden/>
    <w:unhideWhenUsed/>
    <w:rsid w:val="001B6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6B09"/>
    <w:rPr>
      <w:rFonts w:ascii="Segoe U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57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D30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57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D30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Wild</dc:creator>
  <cp:keywords/>
  <cp:lastModifiedBy>Peggy Wild</cp:lastModifiedBy>
  <cp:revision>8</cp:revision>
  <cp:lastPrinted>2017-06-12T22:15:00Z</cp:lastPrinted>
  <dcterms:created xsi:type="dcterms:W3CDTF">2017-06-07T00:43:00Z</dcterms:created>
  <dcterms:modified xsi:type="dcterms:W3CDTF">2017-06-12T22:15:00Z</dcterms:modified>
</cp:coreProperties>
</file>