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EC" w:rsidRDefault="00AE54EC"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-546100</wp:posOffset>
            </wp:positionV>
            <wp:extent cx="1108710" cy="1233805"/>
            <wp:effectExtent l="0" t="0" r="0" b="444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3195"/>
        <w:gridCol w:w="662"/>
        <w:gridCol w:w="5008"/>
      </w:tblGrid>
      <w:tr w:rsidR="004D4AB8" w:rsidRPr="0083011F" w:rsidTr="004D4AB8">
        <w:trPr>
          <w:tblHeader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AB8" w:rsidRPr="00DE1B52" w:rsidRDefault="004D4AB8" w:rsidP="004D4AB8">
            <w:pPr>
              <w:spacing w:before="100" w:beforeAutospacing="1" w:after="100" w:afterAutospacing="1"/>
              <w:rPr>
                <w:rFonts w:eastAsia="Times New Roman" w:cs="Arial"/>
                <w:b/>
                <w:bCs/>
                <w:lang w:bidi="ar-SA"/>
              </w:rPr>
            </w:pPr>
            <w:r w:rsidRPr="00DE1B52">
              <w:rPr>
                <w:b/>
                <w:sz w:val="27"/>
                <w:szCs w:val="27"/>
              </w:rPr>
              <w:t>National Standards for Family and Consumer Sciences Education</w:t>
            </w:r>
            <w:r w:rsidRPr="00DE1B52">
              <w:br/>
            </w:r>
            <w:r w:rsidRPr="00DE1B52">
              <w:rPr>
                <w:sz w:val="20"/>
                <w:szCs w:val="20"/>
              </w:rPr>
              <w:t>Copyright © 2018</w:t>
            </w:r>
            <w:r w:rsidRPr="00DE1B52">
              <w:rPr>
                <w:sz w:val="20"/>
                <w:szCs w:val="20"/>
              </w:rPr>
              <w:br/>
              <w:t>Developed by National Association of State Administrators of Family and Consumer Sciences (NASAFACS)</w:t>
            </w:r>
          </w:p>
        </w:tc>
      </w:tr>
      <w:tr w:rsidR="004D4AB8" w:rsidRPr="0083011F" w:rsidTr="004D4AB8">
        <w:trPr>
          <w:tblHeader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>Area of Study 7.0</w:t>
            </w:r>
          </w:p>
        </w:tc>
      </w:tr>
      <w:tr w:rsidR="004D4AB8" w:rsidRPr="0083011F" w:rsidTr="004D4AB8">
        <w:trPr>
          <w:tblHeader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Default="004D4AB8" w:rsidP="004D4AB8">
            <w:p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 w:rsidRPr="0083011F"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 xml:space="preserve">Family and </w:t>
            </w:r>
            <w:r w:rsidR="00EB07F9"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>Human</w:t>
            </w:r>
            <w:r w:rsidRPr="0083011F"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 xml:space="preserve"> Services</w:t>
            </w:r>
          </w:p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</w:tr>
      <w:tr w:rsidR="004D4AB8" w:rsidRPr="0083011F" w:rsidTr="004D4AB8"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05" w:rsidRDefault="00086305" w:rsidP="00086305">
            <w:p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bookmarkStart w:id="1" w:name="_Hlk479078450"/>
            <w:r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>Usage Guidelines</w:t>
            </w:r>
          </w:p>
          <w:p w:rsidR="009902A3" w:rsidRPr="00CF0FF0" w:rsidRDefault="009902A3" w:rsidP="009902A3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Family and Consumer 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Sciences National Standards are </w:t>
            </w:r>
            <w:r w:rsidRPr="00CF0FF0">
              <w:rPr>
                <w:rFonts w:eastAsia="Times New Roman" w:cs="Arial"/>
                <w:bCs/>
                <w:sz w:val="22"/>
                <w:szCs w:val="22"/>
                <w:u w:val="single"/>
                <w:lang w:bidi="ar-SA"/>
              </w:rPr>
              <w:t>outcomes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; that is, expectations of what students should know and be able to do upon completion of a sequence of courses in a defined pathway/program of study. </w:t>
            </w:r>
          </w:p>
          <w:p w:rsidR="009902A3" w:rsidRPr="00CF0FF0" w:rsidRDefault="009902A3" w:rsidP="009902A3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As state or local curriculum is developed, the national standards should be utilized as indicators of student achievement at the end of the pathway/program of study. Benchmarks should be developed at the state or local level for student achievement in earlier courses. </w:t>
            </w:r>
          </w:p>
          <w:p w:rsidR="004D4AB8" w:rsidRPr="00C368FE" w:rsidRDefault="004D4AB8" w:rsidP="004D4AB8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The standards are </w:t>
            </w: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>grouped by Areas of Study, NOT by courses</w:t>
            </w:r>
            <w:r w:rsidR="00B20C9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 or course sequences</w:t>
            </w:r>
            <w:r w:rsidR="00B20C9F"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. It is expected that content knowledge and skills from multiple Areas of Study </w:t>
            </w:r>
            <w:r w:rsidR="00B20C9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would be utilized </w:t>
            </w:r>
            <w:r w:rsidR="00B20C9F"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when building courses </w:t>
            </w:r>
            <w:r w:rsidR="00B20C9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and course sequences </w:t>
            </w: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>for state or local uses. For example, standards from Area 1-Career, Community and Life Connections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, Area 2 Consumer and Family Resources, and Area 12 Human Development, as well as standards from other Areas of Study, </w:t>
            </w: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might be incorporated into 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course sequences for Family and </w:t>
            </w:r>
            <w:r w:rsidR="00EB07F9">
              <w:rPr>
                <w:rFonts w:eastAsia="Times New Roman" w:cs="Arial"/>
                <w:bCs/>
                <w:sz w:val="22"/>
                <w:szCs w:val="22"/>
                <w:lang w:bidi="ar-SA"/>
              </w:rPr>
              <w:t>Human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 Services pathways</w:t>
            </w: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>.</w:t>
            </w:r>
          </w:p>
          <w:bookmarkEnd w:id="1"/>
          <w:p w:rsidR="004D4AB8" w:rsidRPr="0083011F" w:rsidRDefault="004D4AB8" w:rsidP="004D4AB8">
            <w:pPr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4D4AB8" w:rsidRPr="0083011F" w:rsidTr="004D4AB8"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Comprehensive Standard</w:t>
            </w:r>
            <w:r w:rsidRPr="0083011F">
              <w:rPr>
                <w:rFonts w:eastAsia="Times New Roman" w:cs="Arial"/>
                <w:sz w:val="22"/>
                <w:szCs w:val="22"/>
                <w:lang w:bidi="ar-SA"/>
              </w:rPr>
              <w:br/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Synthesize knowledge, skills, and practices required for careers in family &amp; </w:t>
            </w:r>
            <w:r w:rsidR="00EB07F9">
              <w:rPr>
                <w:rFonts w:eastAsia="Times New Roman"/>
                <w:sz w:val="22"/>
                <w:szCs w:val="22"/>
                <w:lang w:bidi="ar-SA"/>
              </w:rPr>
              <w:t>human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 services</w:t>
            </w:r>
          </w:p>
        </w:tc>
      </w:tr>
      <w:tr w:rsidR="004D4AB8" w:rsidRPr="0083011F" w:rsidTr="004D4AB8"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</w:tr>
      <w:tr w:rsidR="004D4AB8" w:rsidRPr="0083011F" w:rsidTr="004D4AB8"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>Content Standards</w:t>
            </w:r>
          </w:p>
        </w:tc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>Competencies</w:t>
            </w:r>
          </w:p>
        </w:tc>
      </w:tr>
      <w:tr w:rsidR="004D4AB8" w:rsidRPr="0083011F" w:rsidTr="004D4AB8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7.1</w:t>
            </w:r>
          </w:p>
        </w:tc>
        <w:tc>
          <w:tcPr>
            <w:tcW w:w="31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Analyze career paths within family and </w:t>
            </w:r>
            <w:r w:rsidR="00EB07F9">
              <w:rPr>
                <w:rFonts w:eastAsia="Times New Roman"/>
                <w:sz w:val="22"/>
                <w:szCs w:val="22"/>
                <w:lang w:bidi="ar-SA"/>
              </w:rPr>
              <w:t>human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 services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7.1.1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Explain the roles and functions of individuals engaged in family and </w:t>
            </w:r>
            <w:r w:rsidR="00EB07F9">
              <w:rPr>
                <w:rFonts w:eastAsia="Times New Roman"/>
                <w:sz w:val="22"/>
                <w:szCs w:val="22"/>
                <w:lang w:bidi="ar-SA"/>
              </w:rPr>
              <w:t>human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 services careers</w:t>
            </w:r>
          </w:p>
        </w:tc>
      </w:tr>
      <w:tr w:rsidR="004D4AB8" w:rsidRPr="0083011F" w:rsidTr="004D4AB8"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7.1.2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Investigate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 opportunities for employment and entrepreneurial endeavors.</w:t>
            </w:r>
          </w:p>
        </w:tc>
      </w:tr>
      <w:tr w:rsidR="004D4AB8" w:rsidRPr="0083011F" w:rsidTr="004D4AB8"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7.1.3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Summarize education and training requirements and opportunities for career paths in family </w:t>
            </w:r>
            <w:r>
              <w:rPr>
                <w:rFonts w:eastAsia="Times New Roman"/>
                <w:sz w:val="22"/>
                <w:szCs w:val="22"/>
                <w:lang w:bidi="ar-SA"/>
              </w:rPr>
              <w:t>and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 </w:t>
            </w:r>
            <w:r w:rsidR="00EB07F9">
              <w:rPr>
                <w:rFonts w:eastAsia="Times New Roman"/>
                <w:sz w:val="22"/>
                <w:szCs w:val="22"/>
                <w:lang w:bidi="ar-SA"/>
              </w:rPr>
              <w:t>human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 services  </w:t>
            </w:r>
          </w:p>
        </w:tc>
      </w:tr>
      <w:tr w:rsidR="004D4AB8" w:rsidRPr="0083011F" w:rsidTr="004D4AB8"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7.1.4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Analyze the effects of family and </w:t>
            </w:r>
            <w:r w:rsidR="00EB07F9">
              <w:rPr>
                <w:rFonts w:eastAsia="Times New Roman"/>
                <w:sz w:val="22"/>
                <w:szCs w:val="22"/>
                <w:lang w:bidi="ar-SA"/>
              </w:rPr>
              <w:t>human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 service 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careers 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>on local, state, national, and global economies. </w:t>
            </w:r>
          </w:p>
        </w:tc>
      </w:tr>
      <w:tr w:rsidR="004D4AB8" w:rsidRPr="0083011F" w:rsidTr="004D4AB8"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7.1.5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E4804" w:rsidP="004D4AB8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 xml:space="preserve">Create an employment portfolio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to communicate</w:t>
            </w: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family and </w:t>
            </w:r>
            <w:r>
              <w:rPr>
                <w:rFonts w:eastAsia="Times New Roman"/>
                <w:sz w:val="22"/>
                <w:szCs w:val="22"/>
                <w:lang w:bidi="ar-SA"/>
              </w:rPr>
              <w:t>human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 services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knowledge and skills</w:t>
            </w:r>
            <w:r w:rsidR="004D4AB8" w:rsidRPr="0083011F">
              <w:rPr>
                <w:rFonts w:eastAsia="Times New Roman"/>
                <w:sz w:val="22"/>
                <w:szCs w:val="22"/>
                <w:lang w:bidi="ar-SA"/>
              </w:rPr>
              <w:t>.</w:t>
            </w:r>
          </w:p>
        </w:tc>
      </w:tr>
      <w:tr w:rsidR="004D4AB8" w:rsidRPr="0083011F" w:rsidTr="004D4AB8"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7.1.6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Analyze the role of professional organizations in family and </w:t>
            </w:r>
            <w:r w:rsidR="00EB07F9">
              <w:rPr>
                <w:rFonts w:eastAsia="Times New Roman"/>
                <w:sz w:val="22"/>
                <w:szCs w:val="22"/>
                <w:lang w:bidi="ar-SA"/>
              </w:rPr>
              <w:t>human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 services professions</w:t>
            </w:r>
          </w:p>
        </w:tc>
      </w:tr>
      <w:tr w:rsidR="004D4AB8" w:rsidRPr="0083011F" w:rsidTr="004D4AB8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1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</w:tr>
      <w:tr w:rsidR="004D4AB8" w:rsidRPr="0083011F" w:rsidTr="004D4AB8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7.2</w:t>
            </w:r>
          </w:p>
        </w:tc>
        <w:tc>
          <w:tcPr>
            <w:tcW w:w="31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Analyze factors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 in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 providing family and </w:t>
            </w:r>
            <w:r w:rsidR="00EB07F9">
              <w:rPr>
                <w:rFonts w:eastAsia="Times New Roman"/>
                <w:sz w:val="22"/>
                <w:szCs w:val="22"/>
                <w:lang w:bidi="ar-SA"/>
              </w:rPr>
              <w:t>human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 services.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7.2.1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Describe local, state, and national agencies and informal support resources providing human services</w:t>
            </w:r>
          </w:p>
        </w:tc>
      </w:tr>
      <w:tr w:rsidR="004D4AB8" w:rsidRPr="0083011F" w:rsidTr="004D4AB8"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7.2.2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Analyze professional, ethical, legal, and safety issues 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for 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>human service</w:t>
            </w:r>
            <w:r w:rsidR="004E4804">
              <w:rPr>
                <w:rFonts w:eastAsia="Times New Roman"/>
                <w:sz w:val="22"/>
                <w:szCs w:val="22"/>
                <w:lang w:bidi="ar-SA"/>
              </w:rPr>
              <w:t>s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 employees.</w:t>
            </w:r>
          </w:p>
        </w:tc>
      </w:tr>
      <w:tr w:rsidR="004D4AB8" w:rsidRPr="0083011F" w:rsidTr="004D4AB8"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7.2.3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Summarize licensing laws and regulations that affect service providers and their participants.</w:t>
            </w:r>
          </w:p>
        </w:tc>
      </w:tr>
      <w:tr w:rsidR="004D4AB8" w:rsidRPr="0083011F" w:rsidTr="004D4AB8"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7.2.4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Analyze harmful, fraudulent, 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unethical, 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>and deceptive human services practices.  </w:t>
            </w:r>
          </w:p>
        </w:tc>
      </w:tr>
      <w:tr w:rsidR="004D4AB8" w:rsidRPr="0083011F" w:rsidTr="004D4AB8"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7.2.5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Summarize the rights and responsibilities of human service participants and their families.  </w:t>
            </w:r>
          </w:p>
        </w:tc>
      </w:tr>
      <w:tr w:rsidR="004D4AB8" w:rsidRPr="0083011F" w:rsidTr="004D4AB8"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7.2.6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Analyze effective self-advocacy strategies 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for 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>human services p</w:t>
            </w:r>
            <w:r>
              <w:rPr>
                <w:rFonts w:eastAsia="Times New Roman"/>
                <w:sz w:val="22"/>
                <w:szCs w:val="22"/>
                <w:lang w:bidi="ar-SA"/>
              </w:rPr>
              <w:t>rofessionals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>.</w:t>
            </w:r>
          </w:p>
        </w:tc>
      </w:tr>
      <w:tr w:rsidR="004D4AB8" w:rsidRPr="0083011F" w:rsidTr="004D4AB8"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7.2.7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Investigate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 community-networking opportunities in family and </w:t>
            </w:r>
            <w:r w:rsidR="00EB07F9">
              <w:rPr>
                <w:rFonts w:eastAsia="Times New Roman"/>
                <w:sz w:val="22"/>
                <w:szCs w:val="22"/>
                <w:lang w:bidi="ar-SA"/>
              </w:rPr>
              <w:t>human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 services.  </w:t>
            </w:r>
          </w:p>
        </w:tc>
      </w:tr>
      <w:tr w:rsidR="004D4AB8" w:rsidRPr="0083011F" w:rsidTr="004D4AB8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1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</w:tr>
      <w:tr w:rsidR="004D4AB8" w:rsidRPr="0083011F" w:rsidTr="004D4AB8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7.3</w:t>
            </w:r>
          </w:p>
        </w:tc>
        <w:tc>
          <w:tcPr>
            <w:tcW w:w="31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Demonstrate professional behaviors, skills, and knowledge in providing family and </w:t>
            </w:r>
            <w:r w:rsidR="00EB07F9">
              <w:rPr>
                <w:rFonts w:eastAsia="Times New Roman"/>
                <w:sz w:val="22"/>
                <w:szCs w:val="22"/>
                <w:lang w:bidi="ar-SA"/>
              </w:rPr>
              <w:t>human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 services.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7.3.1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Evaluate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 rules, regulations, 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legal 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>and work site policies that affect employer, employee, p</w:t>
            </w:r>
            <w:r>
              <w:rPr>
                <w:rFonts w:eastAsia="Times New Roman"/>
                <w:sz w:val="22"/>
                <w:szCs w:val="22"/>
                <w:lang w:bidi="ar-SA"/>
              </w:rPr>
              <w:t>ersonal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>, and family rights and responsibilities. </w:t>
            </w:r>
          </w:p>
        </w:tc>
      </w:tr>
      <w:tr w:rsidR="004D4AB8" w:rsidRPr="0083011F" w:rsidTr="004D4AB8"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7.3.2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Demonstrate professional and ethical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 behavior with peers in a  variety of settings.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 </w:t>
            </w:r>
          </w:p>
        </w:tc>
      </w:tr>
      <w:tr w:rsidR="004D4AB8" w:rsidRPr="0083011F" w:rsidTr="004D4AB8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7.3.3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 xml:space="preserve">Analyze procedures for maintaining 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 accurate and confidential documentation </w:t>
            </w:r>
            <w:r>
              <w:rPr>
                <w:rFonts w:eastAsia="Times New Roman"/>
                <w:sz w:val="22"/>
                <w:szCs w:val="22"/>
                <w:lang w:bidi="ar-SA"/>
              </w:rPr>
              <w:t>and submission practices.</w:t>
            </w:r>
          </w:p>
        </w:tc>
      </w:tr>
      <w:tr w:rsidR="004D4AB8" w:rsidRPr="0083011F" w:rsidTr="004D4AB8"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7.3.4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Demonstrate</w:t>
            </w:r>
            <w:r w:rsidRPr="00A269A3">
              <w:rPr>
                <w:rFonts w:eastAsia="Times New Roman"/>
                <w:sz w:val="22"/>
                <w:szCs w:val="22"/>
                <w:lang w:bidi="ar-SA"/>
              </w:rPr>
              <w:t xml:space="preserve"> </w:t>
            </w:r>
            <w:r w:rsidRPr="006D088D">
              <w:rPr>
                <w:rFonts w:eastAsia="Times New Roman"/>
                <w:sz w:val="22"/>
                <w:szCs w:val="22"/>
                <w:lang w:bidi="ar-SA"/>
              </w:rPr>
              <w:t>formal and informal assessment practices</w:t>
            </w:r>
            <w:r w:rsidRPr="00472FB0">
              <w:rPr>
                <w:rFonts w:eastAsia="Times New Roman"/>
                <w:sz w:val="22"/>
                <w:szCs w:val="22"/>
                <w:lang w:bidi="ar-SA"/>
              </w:rPr>
              <w:t xml:space="preserve"> </w:t>
            </w:r>
            <w:r w:rsidRPr="00837704">
              <w:rPr>
                <w:rFonts w:eastAsia="Times New Roman"/>
                <w:sz w:val="22"/>
                <w:szCs w:val="22"/>
                <w:lang w:bidi="ar-SA"/>
              </w:rPr>
              <w:t>that evaluate participants' strengths, needs, preferences, and interests across the life span</w:t>
            </w:r>
            <w:r w:rsidRPr="00A269A3">
              <w:rPr>
                <w:rFonts w:eastAsia="Times New Roman"/>
                <w:sz w:val="22"/>
                <w:szCs w:val="22"/>
                <w:lang w:bidi="ar-SA"/>
              </w:rPr>
              <w:t>.</w:t>
            </w:r>
          </w:p>
        </w:tc>
      </w:tr>
      <w:tr w:rsidR="004D4AB8" w:rsidRPr="0083011F" w:rsidTr="004D4AB8"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7.3.5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Demonstrate use of </w:t>
            </w:r>
            <w:r w:rsidR="00B20C9F">
              <w:rPr>
                <w:rFonts w:eastAsia="Times New Roman"/>
                <w:sz w:val="22"/>
                <w:szCs w:val="22"/>
                <w:lang w:bidi="ar-SA"/>
              </w:rPr>
              <w:t>current and evolving te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>chnology in human services.</w:t>
            </w:r>
          </w:p>
        </w:tc>
      </w:tr>
      <w:tr w:rsidR="004D4AB8" w:rsidRPr="0083011F" w:rsidTr="004D4AB8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1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</w:tr>
      <w:tr w:rsidR="004D4AB8" w:rsidRPr="0083011F" w:rsidTr="004D4AB8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7.4</w:t>
            </w:r>
          </w:p>
        </w:tc>
        <w:tc>
          <w:tcPr>
            <w:tcW w:w="31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 xml:space="preserve">Analyze the impact of conditions that could influence the well-being of individuals and families. 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7.4.1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Investigate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 health, wellness, and safety issues of individual and families with a variety of conditions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 that could influence their well-being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>.</w:t>
            </w:r>
          </w:p>
        </w:tc>
      </w:tr>
      <w:tr w:rsidR="004D4AB8" w:rsidRPr="0083011F" w:rsidTr="004D4AB8"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7.4.2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Analyze management and living environment issues of individuals and famil</w:t>
            </w:r>
            <w:r>
              <w:rPr>
                <w:rFonts w:eastAsia="Times New Roman"/>
                <w:sz w:val="22"/>
                <w:szCs w:val="22"/>
                <w:lang w:bidi="ar-SA"/>
              </w:rPr>
              <w:t>y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 conditions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 that influence their well-being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>. </w:t>
            </w:r>
          </w:p>
        </w:tc>
      </w:tr>
      <w:tr w:rsidR="004D4AB8" w:rsidRPr="0083011F" w:rsidTr="004D4AB8"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7.4.3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7704">
              <w:rPr>
                <w:rFonts w:eastAsia="Times New Roman"/>
                <w:sz w:val="22"/>
                <w:szCs w:val="22"/>
                <w:lang w:bidi="ar-SA"/>
              </w:rPr>
              <w:t xml:space="preserve">Analyze personal, social, emotional, economic, vocational, educational, and recreational issues </w:t>
            </w:r>
            <w:r>
              <w:rPr>
                <w:rFonts w:eastAsia="Times New Roman"/>
                <w:sz w:val="22"/>
                <w:szCs w:val="22"/>
                <w:lang w:bidi="ar-SA"/>
              </w:rPr>
              <w:t>of</w:t>
            </w:r>
            <w:r w:rsidRPr="00837704">
              <w:rPr>
                <w:rFonts w:eastAsia="Times New Roman"/>
                <w:sz w:val="22"/>
                <w:szCs w:val="22"/>
                <w:lang w:bidi="ar-SA"/>
              </w:rPr>
              <w:t xml:space="preserve"> individuals and family conditions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 that influence their well-being</w:t>
            </w:r>
            <w:r w:rsidRPr="00837704">
              <w:rPr>
                <w:rFonts w:eastAsia="Times New Roman"/>
                <w:sz w:val="22"/>
                <w:szCs w:val="22"/>
                <w:lang w:bidi="ar-SA"/>
              </w:rPr>
              <w:t>.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  </w:t>
            </w:r>
          </w:p>
        </w:tc>
      </w:tr>
      <w:tr w:rsidR="004D4AB8" w:rsidRPr="0083011F" w:rsidTr="004D4AB8"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7.4.4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Di</w:t>
            </w:r>
            <w:r>
              <w:rPr>
                <w:rFonts w:eastAsia="Times New Roman"/>
                <w:sz w:val="22"/>
                <w:szCs w:val="22"/>
                <w:lang w:bidi="ar-SA"/>
              </w:rPr>
              <w:t>fferentiate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 between situations that require personal prevention or intervention and those situations that require professional assistance.  </w:t>
            </w:r>
          </w:p>
        </w:tc>
      </w:tr>
      <w:tr w:rsidR="004D4AB8" w:rsidRPr="0083011F" w:rsidTr="004D4AB8"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7.4.5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Analyze situations which require crisis intervention</w:t>
            </w:r>
            <w:r>
              <w:rPr>
                <w:rFonts w:eastAsia="Times New Roman"/>
                <w:sz w:val="22"/>
                <w:szCs w:val="22"/>
                <w:lang w:bidi="ar-SA"/>
              </w:rPr>
              <w:t>.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  </w:t>
            </w:r>
          </w:p>
        </w:tc>
      </w:tr>
      <w:tr w:rsidR="004D4AB8" w:rsidRPr="0083011F" w:rsidTr="004D4AB8"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7.4.6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Summarize the appropriate support needed to address selected human services issues.  </w:t>
            </w:r>
          </w:p>
        </w:tc>
      </w:tr>
      <w:tr w:rsidR="004D4AB8" w:rsidRPr="0083011F" w:rsidTr="004D4AB8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1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Default="004D4AB8" w:rsidP="004D4AB8">
            <w:pPr>
              <w:rPr>
                <w:rFonts w:eastAsia="Times New Roman"/>
                <w:sz w:val="22"/>
                <w:szCs w:val="22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  <w:p w:rsidR="001B0288" w:rsidRPr="0083011F" w:rsidRDefault="001B0288" w:rsidP="004D4AB8">
            <w:pPr>
              <w:rPr>
                <w:rFonts w:eastAsia="Times New Roman"/>
                <w:lang w:bidi="ar-SA"/>
              </w:rPr>
            </w:pPr>
          </w:p>
        </w:tc>
      </w:tr>
      <w:tr w:rsidR="004D4AB8" w:rsidRPr="0083011F" w:rsidTr="004D4AB8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lastRenderedPageBreak/>
              <w:t>7.5</w:t>
            </w:r>
          </w:p>
        </w:tc>
        <w:tc>
          <w:tcPr>
            <w:tcW w:w="31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7704">
              <w:rPr>
                <w:rFonts w:eastAsia="Times New Roman"/>
                <w:sz w:val="22"/>
                <w:szCs w:val="22"/>
                <w:lang w:bidi="ar-SA"/>
              </w:rPr>
              <w:t>Evaluate services for individuals and families with a variety of conditions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 that could impact their well-being.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7.5.1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Describe needs and accommodations for people with a variety of conditions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 that could affect their well-being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>.   </w:t>
            </w:r>
          </w:p>
        </w:tc>
      </w:tr>
      <w:tr w:rsidR="004D4AB8" w:rsidRPr="0083011F" w:rsidTr="004D4AB8"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7.5.2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Analyze ways in which individuals with conditions </w:t>
            </w:r>
            <w:r>
              <w:rPr>
                <w:rFonts w:eastAsia="Times New Roman"/>
                <w:sz w:val="22"/>
                <w:szCs w:val="22"/>
                <w:lang w:bidi="ar-SA"/>
              </w:rPr>
              <w:t>that affect their well-being influence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 the family and family members financially, socially, physically, and emotionally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 over the lifespan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>.</w:t>
            </w:r>
          </w:p>
        </w:tc>
      </w:tr>
      <w:tr w:rsidR="004D4AB8" w:rsidRPr="0083011F" w:rsidTr="004D4AB8"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7.5.3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Illustrate coping or adjustment strategies and stress management practices for the participant, a caregiver, and family members.</w:t>
            </w:r>
          </w:p>
        </w:tc>
      </w:tr>
      <w:tr w:rsidR="004D4AB8" w:rsidRPr="0083011F" w:rsidTr="004D4AB8"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7.5.4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Summarize the importance of friends, family, and community relationships for individual</w:t>
            </w:r>
            <w:r>
              <w:rPr>
                <w:rFonts w:eastAsia="Times New Roman"/>
                <w:sz w:val="22"/>
                <w:szCs w:val="22"/>
                <w:lang w:bidi="ar-SA"/>
              </w:rPr>
              <w:t>s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 with a variety of conditions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 that affect their well-being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>.</w:t>
            </w:r>
          </w:p>
        </w:tc>
      </w:tr>
      <w:tr w:rsidR="004D4AB8" w:rsidRPr="0083011F" w:rsidTr="004D4AB8"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7.5.5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Demonstrate ways to provide support that validates the participants' capabilities and right to privacy, dignity, and autonomy.  </w:t>
            </w:r>
          </w:p>
        </w:tc>
      </w:tr>
      <w:tr w:rsidR="004D4AB8" w:rsidRPr="0083011F" w:rsidTr="004D4AB8"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7.5.6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Identify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 strategies that help participants make informed choices, access resources and support, follow through on responsibilities, and take appropriate risks.  </w:t>
            </w:r>
          </w:p>
        </w:tc>
      </w:tr>
      <w:tr w:rsidR="004D4AB8" w:rsidRPr="0083011F" w:rsidTr="004D4AB8"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7.5.7</w:t>
            </w:r>
          </w:p>
        </w:tc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B8" w:rsidRPr="0083011F" w:rsidRDefault="004D4AB8" w:rsidP="004D4AB8">
            <w:pPr>
              <w:rPr>
                <w:rFonts w:eastAsia="Times New Roman"/>
                <w:lang w:bidi="ar-SA"/>
              </w:rPr>
            </w:pPr>
            <w:r w:rsidRPr="0083011F">
              <w:rPr>
                <w:rFonts w:eastAsia="Times New Roman"/>
                <w:sz w:val="22"/>
                <w:szCs w:val="22"/>
                <w:lang w:bidi="ar-SA"/>
              </w:rPr>
              <w:t>Demonstrate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 effective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 verbal and nonverbal communication skills that support individuals and families with a variety of conditions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 that could affect their well-being.</w:t>
            </w:r>
            <w:r w:rsidRPr="0083011F">
              <w:rPr>
                <w:rFonts w:eastAsia="Times New Roman"/>
                <w:sz w:val="22"/>
                <w:szCs w:val="22"/>
                <w:lang w:bidi="ar-SA"/>
              </w:rPr>
              <w:t xml:space="preserve">  </w:t>
            </w:r>
          </w:p>
        </w:tc>
      </w:tr>
    </w:tbl>
    <w:p w:rsidR="004E3EBB" w:rsidRDefault="004E3EBB" w:rsidP="00C12938"/>
    <w:sectPr w:rsidR="004E3EBB" w:rsidSect="004E3E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438" w:rsidRDefault="00E90438" w:rsidP="00B20C9F">
      <w:r>
        <w:separator/>
      </w:r>
    </w:p>
  </w:endnote>
  <w:endnote w:type="continuationSeparator" w:id="0">
    <w:p w:rsidR="00E90438" w:rsidRDefault="00E90438" w:rsidP="00B2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05" w:rsidRDefault="00086305" w:rsidP="00B20C9F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bookmarkStart w:id="2" w:name="_Hlk481867084"/>
    <w:bookmarkStart w:id="3" w:name="_Hlk481867085"/>
    <w:r>
      <w:rPr>
        <w:sz w:val="22"/>
        <w:szCs w:val="22"/>
      </w:rPr>
      <w:t>FCS National Standards 3.0 (NASAFACS 2018)</w:t>
    </w:r>
  </w:p>
  <w:p w:rsidR="00B20C9F" w:rsidRDefault="00B20C9F" w:rsidP="00B20C9F">
    <w:pPr>
      <w:pStyle w:val="Footer"/>
      <w:pBdr>
        <w:top w:val="single" w:sz="4" w:space="1" w:color="auto"/>
      </w:pBdr>
      <w:jc w:val="center"/>
    </w:pPr>
    <w:r w:rsidRPr="00BE2588">
      <w:rPr>
        <w:sz w:val="22"/>
        <w:szCs w:val="22"/>
      </w:rPr>
      <w:t xml:space="preserve">Area of Study </w:t>
    </w:r>
    <w:r>
      <w:rPr>
        <w:sz w:val="22"/>
        <w:szCs w:val="22"/>
      </w:rPr>
      <w:t>7 Family and Human Services</w:t>
    </w:r>
    <w:r w:rsidRPr="00BE2588">
      <w:rPr>
        <w:sz w:val="22"/>
        <w:szCs w:val="22"/>
      </w:rPr>
      <w:t xml:space="preserve">, </w:t>
    </w:r>
    <w:r w:rsidR="004E4804">
      <w:rPr>
        <w:sz w:val="22"/>
        <w:szCs w:val="22"/>
      </w:rPr>
      <w:t>June</w:t>
    </w:r>
    <w:r w:rsidRPr="00BE2588">
      <w:rPr>
        <w:sz w:val="22"/>
        <w:szCs w:val="22"/>
      </w:rPr>
      <w:t xml:space="preserve"> </w:t>
    </w:r>
    <w:r w:rsidR="00ED4D0B">
      <w:rPr>
        <w:sz w:val="22"/>
        <w:szCs w:val="22"/>
      </w:rPr>
      <w:t>9</w:t>
    </w:r>
    <w:r w:rsidRPr="00BE2588">
      <w:rPr>
        <w:sz w:val="22"/>
        <w:szCs w:val="22"/>
      </w:rPr>
      <w:t xml:space="preserve">, 2017, </w:t>
    </w:r>
    <w:r w:rsidRPr="00BE2588">
      <w:rPr>
        <w:i/>
        <w:sz w:val="22"/>
        <w:szCs w:val="22"/>
      </w:rPr>
      <w:t xml:space="preserve">page </w:t>
    </w:r>
    <w:r w:rsidRPr="00BE2588">
      <w:rPr>
        <w:bCs/>
        <w:i/>
        <w:sz w:val="22"/>
        <w:szCs w:val="22"/>
      </w:rPr>
      <w:fldChar w:fldCharType="begin"/>
    </w:r>
    <w:r w:rsidRPr="00BE2588">
      <w:rPr>
        <w:bCs/>
        <w:i/>
        <w:sz w:val="22"/>
        <w:szCs w:val="22"/>
      </w:rPr>
      <w:instrText xml:space="preserve"> PAGE  \* Arabic  \* MERGEFORMAT </w:instrText>
    </w:r>
    <w:r w:rsidRPr="00BE2588">
      <w:rPr>
        <w:bCs/>
        <w:i/>
        <w:sz w:val="22"/>
        <w:szCs w:val="22"/>
      </w:rPr>
      <w:fldChar w:fldCharType="separate"/>
    </w:r>
    <w:r w:rsidR="008E0541">
      <w:rPr>
        <w:bCs/>
        <w:i/>
        <w:noProof/>
        <w:sz w:val="22"/>
        <w:szCs w:val="22"/>
      </w:rPr>
      <w:t>3</w:t>
    </w:r>
    <w:r w:rsidRPr="00BE2588">
      <w:rPr>
        <w:bCs/>
        <w:i/>
        <w:sz w:val="22"/>
        <w:szCs w:val="22"/>
      </w:rPr>
      <w:fldChar w:fldCharType="end"/>
    </w:r>
    <w:r w:rsidRPr="00BE2588">
      <w:rPr>
        <w:i/>
        <w:sz w:val="22"/>
        <w:szCs w:val="22"/>
      </w:rPr>
      <w:t xml:space="preserve"> of </w:t>
    </w:r>
    <w:r w:rsidRPr="00BE2588">
      <w:rPr>
        <w:bCs/>
        <w:i/>
        <w:sz w:val="22"/>
        <w:szCs w:val="22"/>
      </w:rPr>
      <w:fldChar w:fldCharType="begin"/>
    </w:r>
    <w:r w:rsidRPr="00BE2588">
      <w:rPr>
        <w:bCs/>
        <w:i/>
        <w:sz w:val="22"/>
        <w:szCs w:val="22"/>
      </w:rPr>
      <w:instrText xml:space="preserve"> NUMPAGES  \* Arabic  \* MERGEFORMAT </w:instrText>
    </w:r>
    <w:r w:rsidRPr="00BE2588">
      <w:rPr>
        <w:bCs/>
        <w:i/>
        <w:sz w:val="22"/>
        <w:szCs w:val="22"/>
      </w:rPr>
      <w:fldChar w:fldCharType="separate"/>
    </w:r>
    <w:r w:rsidR="008E0541">
      <w:rPr>
        <w:bCs/>
        <w:i/>
        <w:noProof/>
        <w:sz w:val="22"/>
        <w:szCs w:val="22"/>
      </w:rPr>
      <w:t>3</w:t>
    </w:r>
    <w:r w:rsidRPr="00BE2588">
      <w:rPr>
        <w:bCs/>
        <w:i/>
        <w:sz w:val="22"/>
        <w:szCs w:val="22"/>
      </w:rPr>
      <w:fldChar w:fldCharType="end"/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438" w:rsidRDefault="00E90438" w:rsidP="00B20C9F">
      <w:r>
        <w:separator/>
      </w:r>
    </w:p>
  </w:footnote>
  <w:footnote w:type="continuationSeparator" w:id="0">
    <w:p w:rsidR="00E90438" w:rsidRDefault="00E90438" w:rsidP="00B20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B2740"/>
    <w:multiLevelType w:val="hybridMultilevel"/>
    <w:tmpl w:val="FCD06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79"/>
    <w:rsid w:val="000205F9"/>
    <w:rsid w:val="00086305"/>
    <w:rsid w:val="00166A64"/>
    <w:rsid w:val="001A5606"/>
    <w:rsid w:val="001B0288"/>
    <w:rsid w:val="001B7C79"/>
    <w:rsid w:val="00225E10"/>
    <w:rsid w:val="002A4173"/>
    <w:rsid w:val="00310CED"/>
    <w:rsid w:val="003C5955"/>
    <w:rsid w:val="0043257E"/>
    <w:rsid w:val="00472FB0"/>
    <w:rsid w:val="004D4AB8"/>
    <w:rsid w:val="004E3EBB"/>
    <w:rsid w:val="004E4804"/>
    <w:rsid w:val="00502A4D"/>
    <w:rsid w:val="005676FF"/>
    <w:rsid w:val="00576635"/>
    <w:rsid w:val="005D3DA1"/>
    <w:rsid w:val="005E112F"/>
    <w:rsid w:val="006A707E"/>
    <w:rsid w:val="006D088D"/>
    <w:rsid w:val="007226F7"/>
    <w:rsid w:val="00760B97"/>
    <w:rsid w:val="007C0379"/>
    <w:rsid w:val="007E057A"/>
    <w:rsid w:val="0083011F"/>
    <w:rsid w:val="00837704"/>
    <w:rsid w:val="00891479"/>
    <w:rsid w:val="008B2719"/>
    <w:rsid w:val="008E0541"/>
    <w:rsid w:val="00913488"/>
    <w:rsid w:val="00930EA1"/>
    <w:rsid w:val="009902A3"/>
    <w:rsid w:val="009B2071"/>
    <w:rsid w:val="009B44B4"/>
    <w:rsid w:val="009C25A2"/>
    <w:rsid w:val="00A269A3"/>
    <w:rsid w:val="00A82908"/>
    <w:rsid w:val="00A97446"/>
    <w:rsid w:val="00AC39D2"/>
    <w:rsid w:val="00AE3DA6"/>
    <w:rsid w:val="00AE54EC"/>
    <w:rsid w:val="00B20C9F"/>
    <w:rsid w:val="00B27A7E"/>
    <w:rsid w:val="00BA652F"/>
    <w:rsid w:val="00C12938"/>
    <w:rsid w:val="00DC07B2"/>
    <w:rsid w:val="00E2316B"/>
    <w:rsid w:val="00E90438"/>
    <w:rsid w:val="00E95020"/>
    <w:rsid w:val="00EB07F9"/>
    <w:rsid w:val="00ED4D0B"/>
    <w:rsid w:val="00ED6178"/>
    <w:rsid w:val="00F9595B"/>
    <w:rsid w:val="00FD3D2C"/>
    <w:rsid w:val="00F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CCDF8-8753-4F72-B776-4378C05A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3DA1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D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D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D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D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D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D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DA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3D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D3D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D3D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D3DA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D3DA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D3DA1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5D3DA1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D3DA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D3DA1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D3DA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D3DA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DA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5D3DA1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5D3DA1"/>
    <w:rPr>
      <w:b/>
      <w:bCs/>
    </w:rPr>
  </w:style>
  <w:style w:type="character" w:styleId="Emphasis">
    <w:name w:val="Emphasis"/>
    <w:uiPriority w:val="20"/>
    <w:qFormat/>
    <w:rsid w:val="005D3DA1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5D3DA1"/>
    <w:rPr>
      <w:szCs w:val="32"/>
    </w:rPr>
  </w:style>
  <w:style w:type="character" w:customStyle="1" w:styleId="NoSpacingChar">
    <w:name w:val="No Spacing Char"/>
    <w:link w:val="NoSpacing"/>
    <w:uiPriority w:val="1"/>
    <w:rsid w:val="005D3DA1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5D3D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3DA1"/>
    <w:rPr>
      <w:i/>
    </w:rPr>
  </w:style>
  <w:style w:type="character" w:customStyle="1" w:styleId="QuoteChar">
    <w:name w:val="Quote Char"/>
    <w:link w:val="Quote"/>
    <w:uiPriority w:val="29"/>
    <w:rsid w:val="005D3D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D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D3DA1"/>
    <w:rPr>
      <w:b/>
      <w:i/>
      <w:sz w:val="24"/>
    </w:rPr>
  </w:style>
  <w:style w:type="character" w:styleId="SubtleEmphasis">
    <w:name w:val="Subtle Emphasis"/>
    <w:uiPriority w:val="19"/>
    <w:qFormat/>
    <w:rsid w:val="005D3DA1"/>
    <w:rPr>
      <w:i/>
      <w:color w:val="5A5A5A"/>
    </w:rPr>
  </w:style>
  <w:style w:type="character" w:styleId="IntenseEmphasis">
    <w:name w:val="Intense Emphasis"/>
    <w:uiPriority w:val="21"/>
    <w:qFormat/>
    <w:rsid w:val="005D3DA1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D3DA1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D3DA1"/>
    <w:rPr>
      <w:b/>
      <w:sz w:val="24"/>
      <w:u w:val="single"/>
    </w:rPr>
  </w:style>
  <w:style w:type="character" w:styleId="BookTitle">
    <w:name w:val="Book Title"/>
    <w:uiPriority w:val="33"/>
    <w:qFormat/>
    <w:rsid w:val="005D3DA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DA1"/>
    <w:pPr>
      <w:outlineLvl w:val="9"/>
    </w:pPr>
  </w:style>
  <w:style w:type="character" w:customStyle="1" w:styleId="apple-converted-space">
    <w:name w:val="apple-converted-space"/>
    <w:basedOn w:val="DefaultParagraphFont"/>
    <w:rsid w:val="00A82908"/>
  </w:style>
  <w:style w:type="paragraph" w:styleId="BalloonText">
    <w:name w:val="Balloon Text"/>
    <w:basedOn w:val="Normal"/>
    <w:link w:val="BalloonTextChar"/>
    <w:uiPriority w:val="99"/>
    <w:semiHidden/>
    <w:unhideWhenUsed/>
    <w:rsid w:val="007C03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0379"/>
    <w:rPr>
      <w:rFonts w:ascii="Segoe UI" w:hAnsi="Segoe UI" w:cs="Segoe UI"/>
      <w:sz w:val="18"/>
      <w:szCs w:val="18"/>
      <w:lang w:bidi="en-US"/>
    </w:rPr>
  </w:style>
  <w:style w:type="character" w:styleId="CommentReference">
    <w:name w:val="annotation reference"/>
    <w:uiPriority w:val="99"/>
    <w:semiHidden/>
    <w:unhideWhenUsed/>
    <w:rsid w:val="007C0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0379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0379"/>
    <w:rPr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20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C9F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20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C9F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Wild</dc:creator>
  <cp:keywords/>
  <cp:lastModifiedBy>Peggy Wild</cp:lastModifiedBy>
  <cp:revision>9</cp:revision>
  <cp:lastPrinted>2017-06-12T22:13:00Z</cp:lastPrinted>
  <dcterms:created xsi:type="dcterms:W3CDTF">2017-05-07T01:28:00Z</dcterms:created>
  <dcterms:modified xsi:type="dcterms:W3CDTF">2017-06-12T22:13:00Z</dcterms:modified>
</cp:coreProperties>
</file>