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B" w:rsidRDefault="004F7BF8" w:rsidP="00F91226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-571500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254"/>
        <w:gridCol w:w="662"/>
        <w:gridCol w:w="4949"/>
      </w:tblGrid>
      <w:tr w:rsidR="00F91226" w:rsidRPr="00606CE1" w:rsidTr="00296E2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r w:rsidRPr="00606CE1">
              <w:rPr>
                <w:b/>
                <w:sz w:val="27"/>
                <w:szCs w:val="27"/>
              </w:rPr>
              <w:t>National Standards for Family and Consumer Sciences Education</w:t>
            </w:r>
            <w:r w:rsidRPr="00606CE1">
              <w:br/>
            </w:r>
            <w:r w:rsidR="00DA76A8">
              <w:rPr>
                <w:sz w:val="20"/>
                <w:szCs w:val="20"/>
              </w:rPr>
              <w:t xml:space="preserve">Copyright © </w:t>
            </w:r>
            <w:r w:rsidRPr="00606CE1">
              <w:rPr>
                <w:sz w:val="20"/>
                <w:szCs w:val="20"/>
              </w:rPr>
              <w:t>2018</w:t>
            </w:r>
            <w:r w:rsidRPr="00606CE1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F91226" w:rsidRPr="00606CE1" w:rsidTr="00296E2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5.0</w:t>
            </w:r>
          </w:p>
        </w:tc>
      </w:tr>
      <w:tr w:rsidR="00F91226" w:rsidRPr="00606CE1" w:rsidTr="00296E28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Default="00F91226" w:rsidP="00F91226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 xml:space="preserve">Facilities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 xml:space="preserve">and Property </w:t>
            </w: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Management</w:t>
            </w:r>
          </w:p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</w:tr>
      <w:tr w:rsidR="00F91226" w:rsidRPr="00606CE1" w:rsidTr="00296E2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732" w:rsidRDefault="00A43732" w:rsidP="00A43732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0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DA76A8" w:rsidRPr="00CF0FF0" w:rsidRDefault="00DA76A8" w:rsidP="00DA76A8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DA76A8" w:rsidRPr="00CF0FF0" w:rsidRDefault="00DA76A8" w:rsidP="00DA76A8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F91226" w:rsidRPr="00C368FE" w:rsidRDefault="00F91226" w:rsidP="00F91226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8D3333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8D3333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8D3333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, Area 2 Consumer and Family Resources, and Area 11 Housing and Interior Design, as well as standards from other Areas of Study,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course sequences for Facilities and Property Management pathway</w:t>
            </w:r>
            <w:r w:rsidR="00A34DA5">
              <w:rPr>
                <w:rFonts w:eastAsia="Times New Roman" w:cs="Arial"/>
                <w:bCs/>
                <w:sz w:val="22"/>
                <w:szCs w:val="22"/>
                <w:lang w:bidi="ar-SA"/>
              </w:rPr>
              <w:t>s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bookmarkEnd w:id="0"/>
          <w:p w:rsidR="00F91226" w:rsidRPr="00606CE1" w:rsidRDefault="00F91226" w:rsidP="00F91226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F91226" w:rsidRPr="00606CE1" w:rsidTr="00296E2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required for careers in facilities manag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e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ment and maintenance.</w:t>
            </w:r>
          </w:p>
        </w:tc>
      </w:tr>
      <w:tr w:rsidR="00F91226" w:rsidRPr="00606CE1" w:rsidTr="00296E28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</w:t>
            </w:r>
          </w:p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Analyze career paths within the facilities management and maintenance areas.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Explain the roles and functions of individuals engaged in facilities management careers.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Analyze opportunities for employment and entrepreneurial endeavors.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Summarize education and training requirements and opportunities for career paths in facilities management.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correlation between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facilities management occupations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and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local, state, national, and global economies.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Create an employment portfolio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to communicate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facilities management careers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knowledge and skills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5.1.6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facilities management professions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planning, organizing, and maintaining an efficient operation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of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residential or commercial facilities.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bookmarkStart w:id="1" w:name="_GoBack"/>
            <w:bookmarkEnd w:id="1"/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environmental services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standards and procedures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in residential and commercial settings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Operate cleaning equipment and tools.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Manage use of supplies.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Maintain building interior surfaces, wall coverings, fabrics, furnishings, and floor surfaces.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Perform facilities maintenance based on established standards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procedures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5.2.6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Analyze energy efficient methods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practices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 xml:space="preserve"> in a variety of geographic and cultural settings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sanitation procedures for a clean and safe environment.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Analyze the various types of cleaning methods and their environmental effects.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Summarize federal and state regulations regarding safe handling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us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ag</w:t>
            </w:r>
            <w:r w:rsidR="0023102E">
              <w:rPr>
                <w:rFonts w:eastAsia="Times New Roman" w:cs="Arial"/>
                <w:sz w:val="22"/>
                <w:szCs w:val="22"/>
                <w:lang w:bidi="ar-SA"/>
              </w:rPr>
              <w:t>e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,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and storage of chemicals.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Apply Occupational Safety and Health Administration (OSHA) regulations to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safety procedures</w:t>
            </w:r>
            <w:r w:rsidRPr="00606CE1" w:rsidDel="00D255B5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for </w:t>
            </w:r>
            <w:proofErr w:type="spellStart"/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bloodborne</w:t>
            </w:r>
            <w:proofErr w:type="spellEnd"/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 pathogens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pr</w:t>
            </w:r>
            <w:r w:rsidR="0023102E">
              <w:rPr>
                <w:rFonts w:eastAsia="Times New Roman" w:cs="Arial"/>
                <w:sz w:val="22"/>
                <w:szCs w:val="22"/>
                <w:lang w:bidi="ar-SA"/>
              </w:rPr>
              <w:t>esent in blood and body fluids.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Select a pest control system appropriate for the facility and the type(s) of pests likely to be present.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Utilize</w:t>
            </w:r>
            <w:r w:rsidR="003602F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Centers for Disease Control (CDC) standards.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5.3.6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Integrate</w:t>
            </w:r>
            <w:r w:rsidR="003602FA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Americans with Disabilities Act (ADA) regulations.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hazardous materials and waste management procedures.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Investigate local,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federal,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state regulations 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 xml:space="preserve">and geographic and cultural influences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regarding waste management.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a waste minimization plan.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Practice a recycling program for conservation of resources.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Record presence of hazardous materials and occurrence of hazardous situations accurately and communicate to appropriate authorities.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Describe procedures for safely handling and storing hazardous materials and waste products.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5.4.6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Design energy efficient methods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for waste management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 xml:space="preserve"> in diverse settings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5.4.7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Investigate 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safe storage and disposal of pesticides.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a work environment that provides safety and security.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Design procedures for external and internal emergencies.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security procedures.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Default="00F91226" w:rsidP="00F91226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safe procedures in the use, care, and storage of equipment.</w:t>
            </w:r>
          </w:p>
          <w:p w:rsidR="00B52B8A" w:rsidRDefault="00B52B8A" w:rsidP="00F91226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  <w:p w:rsidR="00B52B8A" w:rsidRPr="00606CE1" w:rsidRDefault="00B52B8A" w:rsidP="00F91226">
            <w:pPr>
              <w:rPr>
                <w:rFonts w:eastAsia="Times New Roman"/>
                <w:lang w:bidi="ar-SA"/>
              </w:rPr>
            </w:pP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safety and security procedures as required by Hazard Analysis and Critical Control Point (HACCP), Occupational Safety and Health Administrations (OSHA), and other agencies.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5.5.5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procedures for control of infection and infectious materials.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5.6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laundering processes aligned with industry standards and regulations.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5.6.1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Summarize the functions of machines and equipment used in laundering operations.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5.6.2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standard laundry procedures.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5.6.3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procedures for the selection of tex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tiles, chemicals, and equipment in the laundering process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5.6.4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industry regulations to laundry/linen systems.</w:t>
            </w:r>
          </w:p>
        </w:tc>
      </w:tr>
      <w:tr w:rsidR="00F91226" w:rsidRPr="00606CE1" w:rsidTr="00296E28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F91226" w:rsidRPr="00606CE1" w:rsidTr="00296E28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</w:t>
            </w:r>
          </w:p>
        </w:tc>
        <w:tc>
          <w:tcPr>
            <w:tcW w:w="3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facilities management functions.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5.7.1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quality customer service which exceeds customer expectations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 xml:space="preserve"> in diverse settings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5.7.2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Demonstrate the elements involved in staff planning, recruiting, interviewing, selecting, hiring, and terminating of employees.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5.7.3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Design staff schedules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 xml:space="preserve"> that meet industry needs and consider individual diversity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5.7.4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Conduct orientation, regular training and education, and on the job training/retraining</w:t>
            </w:r>
            <w:r w:rsidR="001C121B">
              <w:rPr>
                <w:rFonts w:eastAsia="Times New Roman" w:cs="Arial"/>
                <w:sz w:val="22"/>
                <w:szCs w:val="22"/>
                <w:lang w:bidi="ar-SA"/>
              </w:rPr>
              <w:t>, considering employee diversity</w:t>
            </w: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5.7.5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techniques and strategies to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evaluate employee effectiveness.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5.7.6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principles of purchasing and receiving in facility management operations.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5.7.7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Implement procedures to control inventory.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5.7.8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Apply accounting principles in planning, forecasting, and recording profit and loss.</w:t>
            </w:r>
          </w:p>
        </w:tc>
      </w:tr>
      <w:tr w:rsidR="00F91226" w:rsidRPr="00606CE1" w:rsidTr="00296E28"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5.7.9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6" w:rsidRPr="00606CE1" w:rsidRDefault="00F91226" w:rsidP="00F91226">
            <w:pPr>
              <w:rPr>
                <w:rFonts w:eastAsia="Times New Roman"/>
                <w:lang w:bidi="ar-SA"/>
              </w:rPr>
            </w:pPr>
            <w:r w:rsidRPr="00606CE1">
              <w:rPr>
                <w:rFonts w:eastAsia="Times New Roman" w:cs="Arial"/>
                <w:sz w:val="22"/>
                <w:szCs w:val="22"/>
                <w:lang w:bidi="ar-SA"/>
              </w:rPr>
              <w:t>Develop a marketing plan for a business or department.</w:t>
            </w:r>
          </w:p>
        </w:tc>
      </w:tr>
    </w:tbl>
    <w:p w:rsidR="00F91226" w:rsidRDefault="00F91226" w:rsidP="00F91226"/>
    <w:sectPr w:rsidR="00F91226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61" w:rsidRDefault="003C3E61" w:rsidP="00BE2588">
      <w:r>
        <w:separator/>
      </w:r>
    </w:p>
  </w:endnote>
  <w:endnote w:type="continuationSeparator" w:id="0">
    <w:p w:rsidR="003C3E61" w:rsidRDefault="003C3E61" w:rsidP="00BE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32" w:rsidRDefault="00A43732" w:rsidP="00BE25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FCS National Standards 3.0 (NASAFACS 2018)</w:t>
    </w:r>
  </w:p>
  <w:p w:rsidR="00BE2588" w:rsidRPr="00BE2588" w:rsidRDefault="00BE2588" w:rsidP="00BE25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5 Facilities and Property Management, </w:t>
    </w:r>
    <w:r w:rsidR="0023102E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6D74BA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AE1A82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AE1A82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61" w:rsidRDefault="003C3E61" w:rsidP="00BE2588">
      <w:r>
        <w:separator/>
      </w:r>
    </w:p>
  </w:footnote>
  <w:footnote w:type="continuationSeparator" w:id="0">
    <w:p w:rsidR="003C3E61" w:rsidRDefault="003C3E61" w:rsidP="00BE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9"/>
    <w:rsid w:val="00013961"/>
    <w:rsid w:val="00066A57"/>
    <w:rsid w:val="001C121B"/>
    <w:rsid w:val="001F29C1"/>
    <w:rsid w:val="00227060"/>
    <w:rsid w:val="0023102E"/>
    <w:rsid w:val="00276EF4"/>
    <w:rsid w:val="00296E28"/>
    <w:rsid w:val="003602FA"/>
    <w:rsid w:val="003C3DEE"/>
    <w:rsid w:val="003C3E61"/>
    <w:rsid w:val="004E3EBB"/>
    <w:rsid w:val="004F7BF8"/>
    <w:rsid w:val="005454F9"/>
    <w:rsid w:val="0054632F"/>
    <w:rsid w:val="005D3DA1"/>
    <w:rsid w:val="005E316E"/>
    <w:rsid w:val="00606CE1"/>
    <w:rsid w:val="00610881"/>
    <w:rsid w:val="00641354"/>
    <w:rsid w:val="00644300"/>
    <w:rsid w:val="006809F2"/>
    <w:rsid w:val="006D74BA"/>
    <w:rsid w:val="006E7384"/>
    <w:rsid w:val="00796861"/>
    <w:rsid w:val="007E6DE5"/>
    <w:rsid w:val="0083495A"/>
    <w:rsid w:val="00852EE9"/>
    <w:rsid w:val="00891479"/>
    <w:rsid w:val="008B3572"/>
    <w:rsid w:val="008B6168"/>
    <w:rsid w:val="008D3333"/>
    <w:rsid w:val="008D63EC"/>
    <w:rsid w:val="00985FA3"/>
    <w:rsid w:val="00A34DA5"/>
    <w:rsid w:val="00A43732"/>
    <w:rsid w:val="00A61086"/>
    <w:rsid w:val="00A63A32"/>
    <w:rsid w:val="00AE1A82"/>
    <w:rsid w:val="00AE7291"/>
    <w:rsid w:val="00B17E4E"/>
    <w:rsid w:val="00B52B8A"/>
    <w:rsid w:val="00BA652F"/>
    <w:rsid w:val="00BD1E07"/>
    <w:rsid w:val="00BE2588"/>
    <w:rsid w:val="00C6279B"/>
    <w:rsid w:val="00CB66C8"/>
    <w:rsid w:val="00D255B5"/>
    <w:rsid w:val="00D653B2"/>
    <w:rsid w:val="00DA76A8"/>
    <w:rsid w:val="00E2316B"/>
    <w:rsid w:val="00E6243F"/>
    <w:rsid w:val="00EF2AC3"/>
    <w:rsid w:val="00F3478B"/>
    <w:rsid w:val="00F91226"/>
    <w:rsid w:val="00FB3054"/>
    <w:rsid w:val="00FE1DD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52C6D-6719-4A23-B1B3-ED03384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B5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E2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88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2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88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5183</Characters>
  <Application>Microsoft Office Word</Application>
  <DocSecurity>0</DocSecurity>
  <Lines>272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5</cp:revision>
  <cp:lastPrinted>2017-08-17T19:03:00Z</cp:lastPrinted>
  <dcterms:created xsi:type="dcterms:W3CDTF">2017-07-08T20:27:00Z</dcterms:created>
  <dcterms:modified xsi:type="dcterms:W3CDTF">2017-08-17T19:03:00Z</dcterms:modified>
</cp:coreProperties>
</file>