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F5" w:rsidRDefault="00300AF5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-596900</wp:posOffset>
            </wp:positionV>
            <wp:extent cx="1108710" cy="1233805"/>
            <wp:effectExtent l="0" t="0" r="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923"/>
        <w:gridCol w:w="676"/>
        <w:gridCol w:w="5252"/>
      </w:tblGrid>
      <w:tr w:rsidR="00F342AE" w:rsidRPr="00DE1B52" w:rsidTr="00300AF5">
        <w:trPr>
          <w:tblHeader/>
        </w:trPr>
        <w:tc>
          <w:tcPr>
            <w:tcW w:w="936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2AE" w:rsidRPr="00DE1B52" w:rsidRDefault="00F342AE" w:rsidP="00A462D5">
            <w:pPr>
              <w:spacing w:before="100" w:beforeAutospacing="1" w:after="100" w:afterAutospacing="1"/>
              <w:rPr>
                <w:rFonts w:eastAsia="Times New Roman" w:cs="Arial"/>
                <w:b/>
                <w:bCs/>
                <w:lang w:bidi="ar-SA"/>
              </w:rPr>
            </w:pPr>
            <w:r w:rsidRPr="00DE1B52">
              <w:rPr>
                <w:b/>
                <w:sz w:val="27"/>
                <w:szCs w:val="27"/>
              </w:rPr>
              <w:t>National Standards for Family and Consumer Sciences Education</w:t>
            </w:r>
            <w:r w:rsidRPr="00DE1B52">
              <w:br/>
            </w:r>
            <w:r w:rsidRPr="00DE1B52">
              <w:rPr>
                <w:sz w:val="20"/>
                <w:szCs w:val="20"/>
              </w:rPr>
              <w:t>Copyright © 2018</w:t>
            </w:r>
            <w:r w:rsidRPr="00DE1B52">
              <w:rPr>
                <w:sz w:val="20"/>
                <w:szCs w:val="20"/>
              </w:rPr>
              <w:br/>
              <w:t>Developed by National Association of State Administrators of Family and Consumer Sciences (NASAFACS)</w:t>
            </w:r>
          </w:p>
        </w:tc>
      </w:tr>
      <w:tr w:rsidR="00A462D5" w:rsidRPr="00DE1B52" w:rsidTr="00300AF5">
        <w:trPr>
          <w:tblHeader/>
        </w:trPr>
        <w:tc>
          <w:tcPr>
            <w:tcW w:w="936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Area of Study 3.0</w:t>
            </w:r>
          </w:p>
        </w:tc>
      </w:tr>
      <w:tr w:rsidR="00A462D5" w:rsidRPr="00DE1B52" w:rsidTr="00300AF5">
        <w:trPr>
          <w:tblHeader/>
        </w:trPr>
        <w:tc>
          <w:tcPr>
            <w:tcW w:w="936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Consumer Services</w:t>
            </w:r>
            <w:r w:rsidRPr="00DE1B52">
              <w:rPr>
                <w:rFonts w:eastAsia="Times New Roman"/>
                <w:sz w:val="22"/>
                <w:szCs w:val="22"/>
                <w:lang w:bidi="ar-SA"/>
              </w:rPr>
              <w:br/>
            </w:r>
          </w:p>
        </w:tc>
      </w:tr>
      <w:tr w:rsidR="00AC45FA" w:rsidRPr="00DE1B52" w:rsidTr="00300AF5">
        <w:tc>
          <w:tcPr>
            <w:tcW w:w="936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2F07" w:rsidRDefault="00662F07" w:rsidP="00662F07">
            <w:p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bookmarkStart w:id="1" w:name="_Hlk479078450"/>
            <w:r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Usage Guidelines</w:t>
            </w:r>
          </w:p>
          <w:p w:rsidR="009E7015" w:rsidRPr="00CF0FF0" w:rsidRDefault="009E7015" w:rsidP="009E7015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Family and Consumer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Sciences National Standards are </w:t>
            </w:r>
            <w:r w:rsidRPr="00CF0FF0">
              <w:rPr>
                <w:rFonts w:eastAsia="Times New Roman" w:cs="Arial"/>
                <w:bCs/>
                <w:sz w:val="22"/>
                <w:szCs w:val="22"/>
                <w:u w:val="single"/>
                <w:lang w:bidi="ar-SA"/>
              </w:rPr>
              <w:t>outcomes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; that is, expectations of what students should know and be able to do upon completion of a sequence of courses in a defined pathway/program of study. </w:t>
            </w:r>
          </w:p>
          <w:p w:rsidR="009E7015" w:rsidRPr="00CF0FF0" w:rsidRDefault="009E7015" w:rsidP="009E7015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As state or local curriculum is developed, the national standards should be utilized as indicators of student achievement at the end of the pathway/program of study. Benchmarks should be developed at the state or local level for student achievement in earlier courses. </w:t>
            </w:r>
          </w:p>
          <w:p w:rsidR="00AC45FA" w:rsidRPr="00C368FE" w:rsidRDefault="00AC45FA" w:rsidP="00AC45FA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The standards are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grouped by Areas of Study, NOT by courses</w:t>
            </w:r>
            <w:r w:rsidR="00FA5A9A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or course sequences</w:t>
            </w:r>
            <w:r w:rsidR="00FA5A9A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. It is expected that content knowledge and skills from multiple Areas of Study </w:t>
            </w:r>
            <w:r w:rsidR="00FA5A9A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would be utilized </w:t>
            </w:r>
            <w:r w:rsidR="00FA5A9A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when building courses </w:t>
            </w:r>
            <w:r w:rsidR="00FA5A9A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and course sequences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for state or local uses. For example, standards from Area 1-Career, Community and Life Connections</w:t>
            </w:r>
            <w:r w:rsidR="00935332">
              <w:rPr>
                <w:rFonts w:eastAsia="Times New Roman" w:cs="Arial"/>
                <w:bCs/>
                <w:sz w:val="22"/>
                <w:szCs w:val="22"/>
                <w:lang w:bidi="ar-SA"/>
              </w:rPr>
              <w:t>, Area 2 Consumer and Family Resources, and Area 12 Human Development, as well as standards from other Areas of Study,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might be incorporated into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course sequences for </w:t>
            </w:r>
            <w:r w:rsidR="00935332">
              <w:rPr>
                <w:rFonts w:eastAsia="Times New Roman" w:cs="Arial"/>
                <w:bCs/>
                <w:sz w:val="22"/>
                <w:szCs w:val="22"/>
                <w:lang w:bidi="ar-SA"/>
              </w:rPr>
              <w:t>the Consumer Services pathway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.</w:t>
            </w:r>
          </w:p>
          <w:bookmarkEnd w:id="1"/>
          <w:p w:rsidR="00AC45FA" w:rsidRPr="00DE1B52" w:rsidRDefault="00AC45FA" w:rsidP="00AC45FA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A462D5" w:rsidRPr="00DE1B52" w:rsidTr="00300AF5">
        <w:tc>
          <w:tcPr>
            <w:tcW w:w="936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DF5C3A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Comprehensive Standard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br/>
              <w:t>Integrate knowledge, skills, and practices needed for a career in consumer services</w:t>
            </w:r>
            <w:r w:rsidR="007313D5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</w:p>
        </w:tc>
      </w:tr>
      <w:tr w:rsidR="00A462D5" w:rsidRPr="00DE1B52" w:rsidTr="00300AF5">
        <w:tc>
          <w:tcPr>
            <w:tcW w:w="936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A462D5" w:rsidRPr="00DE1B52" w:rsidTr="00300AF5">
        <w:tc>
          <w:tcPr>
            <w:tcW w:w="3432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Content Standards</w:t>
            </w:r>
          </w:p>
        </w:tc>
        <w:tc>
          <w:tcPr>
            <w:tcW w:w="592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Competencies</w:t>
            </w:r>
          </w:p>
        </w:tc>
      </w:tr>
      <w:tr w:rsidR="00A462D5" w:rsidRPr="00DE1B52" w:rsidTr="00300AF5">
        <w:tc>
          <w:tcPr>
            <w:tcW w:w="50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3.1</w:t>
            </w:r>
          </w:p>
        </w:tc>
        <w:tc>
          <w:tcPr>
            <w:tcW w:w="292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Analyze career paths within consumer service industries.</w:t>
            </w:r>
          </w:p>
        </w:tc>
        <w:tc>
          <w:tcPr>
            <w:tcW w:w="6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3.1.1</w:t>
            </w:r>
          </w:p>
        </w:tc>
        <w:tc>
          <w:tcPr>
            <w:tcW w:w="525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Explain roles and functions of individuals engaged in consumer service careers.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3.1.2</w:t>
            </w:r>
          </w:p>
        </w:tc>
        <w:tc>
          <w:tcPr>
            <w:tcW w:w="525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Analyze opportunities for employment and entrepreneurial endeavors.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3.1.3</w:t>
            </w:r>
          </w:p>
        </w:tc>
        <w:tc>
          <w:tcPr>
            <w:tcW w:w="525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Summarize education and training requirements and opportunities for career paths in consumer services.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3.1.4</w:t>
            </w:r>
          </w:p>
        </w:tc>
        <w:tc>
          <w:tcPr>
            <w:tcW w:w="525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Analyze the effects of the consumer service industry on local, state, national, and global economies.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3.1.5</w:t>
            </w:r>
          </w:p>
        </w:tc>
        <w:tc>
          <w:tcPr>
            <w:tcW w:w="525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Create an employment portfolio </w:t>
            </w:r>
            <w:r w:rsidR="004F6A50">
              <w:rPr>
                <w:rFonts w:eastAsia="Times New Roman" w:cs="Arial"/>
                <w:sz w:val="22"/>
                <w:szCs w:val="22"/>
                <w:lang w:bidi="ar-SA"/>
              </w:rPr>
              <w:t>to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C87A85">
              <w:rPr>
                <w:rFonts w:eastAsia="Times New Roman" w:cs="Arial"/>
                <w:sz w:val="22"/>
                <w:szCs w:val="22"/>
                <w:lang w:bidi="ar-SA"/>
              </w:rPr>
              <w:t xml:space="preserve">communicate skills needed for </w:t>
            </w:r>
            <w:r w:rsidR="00C87A85"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careers </w:t>
            </w:r>
            <w:r w:rsidR="00C87A85">
              <w:rPr>
                <w:rFonts w:eastAsia="Times New Roman" w:cs="Arial"/>
                <w:sz w:val="22"/>
                <w:szCs w:val="22"/>
                <w:lang w:bidi="ar-SA"/>
              </w:rPr>
              <w:t xml:space="preserve">in 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consumer service</w:t>
            </w:r>
            <w:r w:rsidR="00C87A85">
              <w:rPr>
                <w:rFonts w:eastAsia="Times New Roman" w:cs="Arial"/>
                <w:sz w:val="22"/>
                <w:szCs w:val="22"/>
                <w:lang w:bidi="ar-SA"/>
              </w:rPr>
              <w:t>s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3.1.6</w:t>
            </w:r>
          </w:p>
        </w:tc>
        <w:tc>
          <w:tcPr>
            <w:tcW w:w="525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Analyze the role of professional organizations in consumer service professions.</w:t>
            </w:r>
          </w:p>
        </w:tc>
      </w:tr>
      <w:tr w:rsidR="00A462D5" w:rsidRPr="00DE1B52" w:rsidTr="00300AF5"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A462D5" w:rsidRPr="00DE1B52" w:rsidTr="00300AF5">
        <w:tc>
          <w:tcPr>
            <w:tcW w:w="5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3.2</w:t>
            </w:r>
          </w:p>
        </w:tc>
        <w:tc>
          <w:tcPr>
            <w:tcW w:w="29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Analyze factors</w:t>
            </w:r>
            <w:r w:rsidR="001652C3">
              <w:rPr>
                <w:rFonts w:eastAsia="Times New Roman" w:cs="Arial"/>
                <w:sz w:val="22"/>
                <w:szCs w:val="22"/>
                <w:lang w:bidi="ar-SA"/>
              </w:rPr>
              <w:t>, including cultural, political, and geographical influences,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 that affect consumer advocacy.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3.2.1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DF5C3A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Analyze the role of advocacy groups at state</w:t>
            </w:r>
            <w:r w:rsidR="00DF5C3A"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 national</w:t>
            </w:r>
            <w:r w:rsidR="006964CA"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7313D5">
              <w:rPr>
                <w:rFonts w:eastAsia="Times New Roman" w:cs="Arial"/>
                <w:sz w:val="22"/>
                <w:szCs w:val="22"/>
                <w:lang w:bidi="ar-SA"/>
              </w:rPr>
              <w:t xml:space="preserve">and international 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levels.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3.2.2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5B244C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Evaluate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A462D5" w:rsidRPr="00DE1B52">
              <w:rPr>
                <w:rFonts w:eastAsia="Times New Roman" w:cs="Arial"/>
                <w:sz w:val="22"/>
                <w:szCs w:val="22"/>
                <w:lang w:bidi="ar-SA"/>
              </w:rPr>
              <w:t>the contributions of policy makers to consumer advocacy.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3.2.3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Demonstrate strategies that enable consumers to become advocates.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3.2.4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Analyze the effects of consumer protection laws on advocacy.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3.2.5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Apply strategies to reduce the risk of consumer fraud.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3.2.6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Analyze the role of media in consumer advocacy.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3.2.7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5B244C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Examine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A462D5" w:rsidRPr="00DE1B52">
              <w:rPr>
                <w:rFonts w:eastAsia="Times New Roman" w:cs="Arial"/>
                <w:sz w:val="22"/>
                <w:szCs w:val="22"/>
                <w:lang w:bidi="ar-SA"/>
              </w:rPr>
              <w:t>the effects of business and industry policies and procedures on advocacy.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3.2.8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Analyze the use of educational and promotional materials in consumer advocacy. </w:t>
            </w:r>
          </w:p>
        </w:tc>
      </w:tr>
      <w:tr w:rsidR="00A462D5" w:rsidRPr="00DE1B52" w:rsidTr="00300AF5"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A462D5" w:rsidRPr="00DE1B52" w:rsidTr="00300AF5">
        <w:tc>
          <w:tcPr>
            <w:tcW w:w="5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3.3</w:t>
            </w:r>
          </w:p>
        </w:tc>
        <w:tc>
          <w:tcPr>
            <w:tcW w:w="29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Analyze factors in </w:t>
            </w:r>
            <w:r w:rsidR="00FA5A9A">
              <w:rPr>
                <w:rFonts w:eastAsia="Times New Roman" w:cs="Arial"/>
                <w:sz w:val="22"/>
                <w:szCs w:val="22"/>
                <w:lang w:bidi="ar-SA"/>
              </w:rPr>
              <w:t xml:space="preserve">guiding development of 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long-term financial management plan</w:t>
            </w:r>
            <w:r w:rsidR="00FA5A9A">
              <w:rPr>
                <w:rFonts w:eastAsia="Times New Roman" w:cs="Arial"/>
                <w:sz w:val="22"/>
                <w:szCs w:val="22"/>
                <w:lang w:bidi="ar-SA"/>
              </w:rPr>
              <w:t>s.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3.3.1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Explain the effects of the economy on personal income, individual and family security, and consumer decisions.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3.3.2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Demonstrate components of a financial planning process that reflect the distinction between needs, wants, values, goals, and economic resources</w:t>
            </w:r>
            <w:r w:rsidR="001652C3">
              <w:rPr>
                <w:rFonts w:eastAsia="Times New Roman" w:cs="Arial"/>
                <w:sz w:val="22"/>
                <w:szCs w:val="22"/>
                <w:lang w:bidi="ar-SA"/>
              </w:rPr>
              <w:t xml:space="preserve"> for a variety of diverse populations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3.3.3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6964CA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Analyze the effect of consumer credit </w:t>
            </w:r>
            <w:r w:rsidR="006964CA">
              <w:rPr>
                <w:rFonts w:eastAsia="Times New Roman" w:cs="Arial"/>
                <w:sz w:val="22"/>
                <w:szCs w:val="22"/>
                <w:lang w:bidi="ar-SA"/>
              </w:rPr>
              <w:t xml:space="preserve">on </w:t>
            </w:r>
            <w:r w:rsidR="005B244C">
              <w:rPr>
                <w:rFonts w:eastAsia="Times New Roman" w:cs="Arial"/>
                <w:sz w:val="22"/>
                <w:szCs w:val="22"/>
                <w:lang w:bidi="ar-SA"/>
              </w:rPr>
              <w:t>short and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 long-term financial planning</w:t>
            </w:r>
            <w:r w:rsidR="00FA5A9A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3.3.4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Compare investment and savings alternatives.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3.3.5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9F7C0F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Examine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A462D5" w:rsidRPr="00DE1B52">
              <w:rPr>
                <w:rFonts w:eastAsia="Times New Roman" w:cs="Arial"/>
                <w:sz w:val="22"/>
                <w:szCs w:val="22"/>
                <w:lang w:bidi="ar-SA"/>
              </w:rPr>
              <w:t>the effects of risk management strategies on long-term financial planning.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3.3.6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9B6213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Analyze the effect of </w:t>
            </w:r>
            <w:r w:rsidR="00CA48C2">
              <w:rPr>
                <w:rFonts w:eastAsia="Times New Roman" w:cs="Arial"/>
                <w:sz w:val="22"/>
                <w:szCs w:val="22"/>
                <w:lang w:bidi="ar-SA"/>
              </w:rPr>
              <w:t>key</w:t>
            </w:r>
            <w:r w:rsidR="00C87A85">
              <w:rPr>
                <w:rFonts w:eastAsia="Times New Roman" w:cs="Arial"/>
                <w:sz w:val="22"/>
                <w:szCs w:val="22"/>
                <w:lang w:bidi="ar-SA"/>
              </w:rPr>
              <w:t xml:space="preserve"> life</w:t>
            </w:r>
            <w:r w:rsidR="005B244C">
              <w:rPr>
                <w:rFonts w:eastAsia="Times New Roman" w:cs="Arial"/>
                <w:sz w:val="22"/>
                <w:szCs w:val="22"/>
                <w:lang w:bidi="ar-SA"/>
              </w:rPr>
              <w:t>cycle transitions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 on financial planning</w:t>
            </w:r>
            <w:r w:rsidR="005B244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3.3.7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Explain the role of estate planning in long-term financial planning.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3.3.8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Analyze factors that influence establishing and maintaining a good credit rating and the effect of credit ratings on rates and terms for credit and insurance.</w:t>
            </w:r>
          </w:p>
        </w:tc>
      </w:tr>
      <w:tr w:rsidR="00A462D5" w:rsidRPr="00DE1B52" w:rsidTr="00300AF5"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A462D5" w:rsidRPr="00DE1B52" w:rsidTr="00300AF5">
        <w:tc>
          <w:tcPr>
            <w:tcW w:w="5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3.4</w:t>
            </w:r>
          </w:p>
        </w:tc>
        <w:tc>
          <w:tcPr>
            <w:tcW w:w="29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Analyze resource consumption for conservation and waste management practices</w:t>
            </w:r>
            <w:r w:rsidR="00FA5A9A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3.4.1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Investigate sources and types of residential and commercial energy, water policy and usage, waste disposal, and pollution issues.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3.4.2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9B6213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Evaluate local, state, and national consumer programs and services</w:t>
            </w:r>
            <w:r w:rsidR="00C87A85">
              <w:rPr>
                <w:rFonts w:eastAsia="Times New Roman" w:cs="Arial"/>
                <w:sz w:val="22"/>
                <w:szCs w:val="22"/>
                <w:lang w:bidi="ar-SA"/>
              </w:rPr>
              <w:t xml:space="preserve">, </w:t>
            </w:r>
            <w:r w:rsidR="005B244C">
              <w:rPr>
                <w:rFonts w:eastAsia="Times New Roman" w:cs="Arial"/>
                <w:sz w:val="22"/>
                <w:szCs w:val="22"/>
                <w:lang w:bidi="ar-SA"/>
              </w:rPr>
              <w:t>both private and government</w:t>
            </w:r>
            <w:r w:rsidR="00C87A85"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 to recycle and conserve energy and environmental resources.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3.4.3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Explore </w:t>
            </w:r>
            <w:r w:rsidR="001652C3">
              <w:rPr>
                <w:rFonts w:eastAsia="Times New Roman" w:cs="Arial"/>
                <w:sz w:val="22"/>
                <w:szCs w:val="22"/>
                <w:lang w:bidi="ar-SA"/>
              </w:rPr>
              <w:t xml:space="preserve">a variety of 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strategies and practices to conserve energy and reduce waste.</w:t>
            </w:r>
          </w:p>
        </w:tc>
      </w:tr>
      <w:tr w:rsidR="00A462D5" w:rsidRPr="00DE1B52" w:rsidTr="008A6B55">
        <w:trPr>
          <w:trHeight w:val="288"/>
        </w:trPr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3.4.4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Examine waste management issues</w:t>
            </w:r>
            <w:r w:rsidR="001652C3">
              <w:rPr>
                <w:rFonts w:eastAsia="Times New Roman" w:cs="Arial"/>
                <w:sz w:val="22"/>
                <w:szCs w:val="22"/>
                <w:lang w:bidi="ar-SA"/>
              </w:rPr>
              <w:t xml:space="preserve"> and local, national, international, and global issues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3.4.5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Examine roles of government, </w:t>
            </w:r>
            <w:r w:rsidR="001652C3">
              <w:rPr>
                <w:rFonts w:eastAsia="Times New Roman" w:cs="Arial"/>
                <w:sz w:val="22"/>
                <w:szCs w:val="22"/>
                <w:lang w:bidi="ar-SA"/>
              </w:rPr>
              <w:t xml:space="preserve">culture, 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industry, and family in energy consumption.</w:t>
            </w:r>
          </w:p>
        </w:tc>
      </w:tr>
      <w:tr w:rsidR="00A462D5" w:rsidRPr="00DE1B52" w:rsidTr="00300AF5"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A462D5" w:rsidRPr="00DE1B52" w:rsidTr="00300AF5">
        <w:tc>
          <w:tcPr>
            <w:tcW w:w="5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3.5</w:t>
            </w:r>
          </w:p>
        </w:tc>
        <w:tc>
          <w:tcPr>
            <w:tcW w:w="29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2A5B4F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Demonstrate skills needed for product development, testing, and presentation.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3.5.1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Conduct market research to determine consumer trends and product development needs</w:t>
            </w:r>
            <w:r w:rsidR="001652C3">
              <w:rPr>
                <w:rFonts w:eastAsia="Times New Roman" w:cs="Arial"/>
                <w:sz w:val="22"/>
                <w:szCs w:val="22"/>
                <w:lang w:bidi="ar-SA"/>
              </w:rPr>
              <w:t xml:space="preserve"> for diverse populations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3.5.2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Design or analyze a consumer product.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3.5.3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Analyze features, prices, product information, styles, and performance of consumer goods for potential </w:t>
            </w:r>
            <w:r w:rsidR="009F7C0F">
              <w:rPr>
                <w:rFonts w:eastAsia="Times New Roman" w:cs="Arial"/>
                <w:sz w:val="22"/>
                <w:szCs w:val="22"/>
                <w:lang w:bidi="ar-SA"/>
              </w:rPr>
              <w:t xml:space="preserve">global impact and 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trade-offs among the components.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3.5.4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Evaluate a product utilizing valid and reliable testing procedures.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3.5.5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Apply statistical analysis processes to interpret, summarize, and report data from tests.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3.5.6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Evaluate the labeling, packaging, and support materials of consumer goods.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3.5.7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2A5B4F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Demonstrate a p</w:t>
            </w:r>
            <w:r w:rsidR="0096359F">
              <w:rPr>
                <w:rFonts w:eastAsia="Times New Roman" w:cs="Arial"/>
                <w:sz w:val="22"/>
                <w:szCs w:val="22"/>
                <w:lang w:bidi="ar-SA"/>
              </w:rPr>
              <w:t>lan</w:t>
            </w: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 xml:space="preserve"> to educate an audience about a new product on the consumer market.</w:t>
            </w:r>
            <w:r w:rsidR="009F7C0F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</w:p>
        </w:tc>
      </w:tr>
      <w:tr w:rsidR="00A462D5" w:rsidRPr="00DE1B52" w:rsidTr="00300AF5"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D5" w:rsidRPr="00DE1B52" w:rsidRDefault="00A462D5" w:rsidP="00A462D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3.5.8</w:t>
            </w: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D5" w:rsidRPr="00DE1B52" w:rsidRDefault="00A462D5" w:rsidP="00A462D5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DE1B52">
              <w:rPr>
                <w:rFonts w:eastAsia="Times New Roman" w:cs="Arial"/>
                <w:sz w:val="22"/>
                <w:szCs w:val="22"/>
                <w:lang w:bidi="ar-SA"/>
              </w:rPr>
              <w:t>Utilize appropriate marketing and sales techniques to aid consumers in the selection of goods and services that meet consumer needs.</w:t>
            </w:r>
          </w:p>
        </w:tc>
      </w:tr>
    </w:tbl>
    <w:p w:rsidR="004E3EBB" w:rsidRDefault="004E3EBB"/>
    <w:sectPr w:rsidR="004E3EBB" w:rsidSect="004E3E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DE" w:rsidRDefault="00F262DE" w:rsidP="00FA5A9A">
      <w:r>
        <w:separator/>
      </w:r>
    </w:p>
  </w:endnote>
  <w:endnote w:type="continuationSeparator" w:id="0">
    <w:p w:rsidR="00F262DE" w:rsidRDefault="00F262DE" w:rsidP="00FA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F07" w:rsidRDefault="00662F07" w:rsidP="00590EB9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>
      <w:rPr>
        <w:sz w:val="22"/>
        <w:szCs w:val="22"/>
      </w:rPr>
      <w:t>FCS National Standards 3.0 (NASAFACS 2018)</w:t>
    </w:r>
  </w:p>
  <w:p w:rsidR="00FA5A9A" w:rsidRDefault="00FA5A9A" w:rsidP="00590EB9">
    <w:pPr>
      <w:pStyle w:val="Footer"/>
      <w:pBdr>
        <w:top w:val="single" w:sz="4" w:space="1" w:color="auto"/>
      </w:pBdr>
      <w:jc w:val="center"/>
    </w:pPr>
    <w:r w:rsidRPr="00BE2588">
      <w:rPr>
        <w:sz w:val="22"/>
        <w:szCs w:val="22"/>
      </w:rPr>
      <w:t xml:space="preserve">Area of Study </w:t>
    </w:r>
    <w:r>
      <w:rPr>
        <w:sz w:val="22"/>
        <w:szCs w:val="22"/>
      </w:rPr>
      <w:t>3</w:t>
    </w:r>
    <w:r w:rsidRPr="00BE2588">
      <w:rPr>
        <w:sz w:val="22"/>
        <w:szCs w:val="22"/>
      </w:rPr>
      <w:t xml:space="preserve"> </w:t>
    </w:r>
    <w:r>
      <w:rPr>
        <w:sz w:val="22"/>
        <w:szCs w:val="22"/>
      </w:rPr>
      <w:t>Consumer Services</w:t>
    </w:r>
    <w:r w:rsidRPr="00BE2588">
      <w:rPr>
        <w:sz w:val="22"/>
        <w:szCs w:val="22"/>
      </w:rPr>
      <w:t xml:space="preserve">, </w:t>
    </w:r>
    <w:r w:rsidR="00C87A85">
      <w:rPr>
        <w:sz w:val="22"/>
        <w:szCs w:val="22"/>
      </w:rPr>
      <w:t xml:space="preserve">June </w:t>
    </w:r>
    <w:r w:rsidR="00662F07">
      <w:rPr>
        <w:sz w:val="22"/>
        <w:szCs w:val="22"/>
      </w:rPr>
      <w:t>9</w:t>
    </w:r>
    <w:r w:rsidR="00C87A85">
      <w:rPr>
        <w:sz w:val="22"/>
        <w:szCs w:val="22"/>
      </w:rPr>
      <w:t>,</w:t>
    </w:r>
    <w:r w:rsidRPr="00BE2588">
      <w:rPr>
        <w:sz w:val="22"/>
        <w:szCs w:val="22"/>
      </w:rPr>
      <w:t xml:space="preserve"> 2017, </w:t>
    </w:r>
    <w:r w:rsidRPr="00BE2588">
      <w:rPr>
        <w:i/>
        <w:sz w:val="22"/>
        <w:szCs w:val="22"/>
      </w:rPr>
      <w:t xml:space="preserve">page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PAGE  \* Arabic  \* MERGEFORMAT </w:instrText>
    </w:r>
    <w:r w:rsidRPr="00BE2588">
      <w:rPr>
        <w:bCs/>
        <w:i/>
        <w:sz w:val="22"/>
        <w:szCs w:val="22"/>
      </w:rPr>
      <w:fldChar w:fldCharType="separate"/>
    </w:r>
    <w:r w:rsidR="00911500">
      <w:rPr>
        <w:bCs/>
        <w:i/>
        <w:noProof/>
        <w:sz w:val="22"/>
        <w:szCs w:val="22"/>
      </w:rPr>
      <w:t>3</w:t>
    </w:r>
    <w:r w:rsidRPr="00BE2588">
      <w:rPr>
        <w:bCs/>
        <w:i/>
        <w:sz w:val="22"/>
        <w:szCs w:val="22"/>
      </w:rPr>
      <w:fldChar w:fldCharType="end"/>
    </w:r>
    <w:r w:rsidRPr="00BE2588">
      <w:rPr>
        <w:i/>
        <w:sz w:val="22"/>
        <w:szCs w:val="22"/>
      </w:rPr>
      <w:t xml:space="preserve"> of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NUMPAGES  \* Arabic  \* MERGEFORMAT </w:instrText>
    </w:r>
    <w:r w:rsidRPr="00BE2588">
      <w:rPr>
        <w:bCs/>
        <w:i/>
        <w:sz w:val="22"/>
        <w:szCs w:val="22"/>
      </w:rPr>
      <w:fldChar w:fldCharType="separate"/>
    </w:r>
    <w:r w:rsidR="00911500">
      <w:rPr>
        <w:bCs/>
        <w:i/>
        <w:noProof/>
        <w:sz w:val="22"/>
        <w:szCs w:val="22"/>
      </w:rPr>
      <w:t>3</w:t>
    </w:r>
    <w:r w:rsidRPr="00BE2588">
      <w:rPr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DE" w:rsidRDefault="00F262DE" w:rsidP="00FA5A9A">
      <w:r>
        <w:separator/>
      </w:r>
    </w:p>
  </w:footnote>
  <w:footnote w:type="continuationSeparator" w:id="0">
    <w:p w:rsidR="00F262DE" w:rsidRDefault="00F262DE" w:rsidP="00FA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2740"/>
    <w:multiLevelType w:val="hybridMultilevel"/>
    <w:tmpl w:val="FCD0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D5"/>
    <w:rsid w:val="001652C3"/>
    <w:rsid w:val="001F4CC7"/>
    <w:rsid w:val="002A5B4F"/>
    <w:rsid w:val="002B3B5F"/>
    <w:rsid w:val="002F2F4E"/>
    <w:rsid w:val="00300AF5"/>
    <w:rsid w:val="00406A6F"/>
    <w:rsid w:val="0042048F"/>
    <w:rsid w:val="00457FFD"/>
    <w:rsid w:val="004E3EBB"/>
    <w:rsid w:val="004F6A50"/>
    <w:rsid w:val="00590EB9"/>
    <w:rsid w:val="005B244C"/>
    <w:rsid w:val="005D3DA1"/>
    <w:rsid w:val="00662F07"/>
    <w:rsid w:val="006964CA"/>
    <w:rsid w:val="006D201F"/>
    <w:rsid w:val="007313D5"/>
    <w:rsid w:val="00801245"/>
    <w:rsid w:val="008A6B55"/>
    <w:rsid w:val="00903EDD"/>
    <w:rsid w:val="00911500"/>
    <w:rsid w:val="00935332"/>
    <w:rsid w:val="00935FA8"/>
    <w:rsid w:val="0096359F"/>
    <w:rsid w:val="00986DB8"/>
    <w:rsid w:val="009B6213"/>
    <w:rsid w:val="009C30A3"/>
    <w:rsid w:val="009E7015"/>
    <w:rsid w:val="009F7C0F"/>
    <w:rsid w:val="00A37F82"/>
    <w:rsid w:val="00A462D5"/>
    <w:rsid w:val="00AC45FA"/>
    <w:rsid w:val="00AC4F06"/>
    <w:rsid w:val="00AE0F04"/>
    <w:rsid w:val="00B93803"/>
    <w:rsid w:val="00C22BF7"/>
    <w:rsid w:val="00C87A85"/>
    <w:rsid w:val="00CA48C2"/>
    <w:rsid w:val="00DE1B52"/>
    <w:rsid w:val="00DF5C3A"/>
    <w:rsid w:val="00E2316B"/>
    <w:rsid w:val="00F262DE"/>
    <w:rsid w:val="00F342AE"/>
    <w:rsid w:val="00FA5A9A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8B616-31F2-463A-923F-CEE6BEB0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D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D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D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D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3D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3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3DA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3DA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3DA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D3DA1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3DA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3DA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D3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3D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D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3DA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D3DA1"/>
    <w:rPr>
      <w:b/>
      <w:bCs/>
    </w:rPr>
  </w:style>
  <w:style w:type="character" w:styleId="Emphasis">
    <w:name w:val="Emphasis"/>
    <w:uiPriority w:val="20"/>
    <w:qFormat/>
    <w:rsid w:val="005D3DA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D3DA1"/>
    <w:rPr>
      <w:szCs w:val="32"/>
    </w:rPr>
  </w:style>
  <w:style w:type="character" w:customStyle="1" w:styleId="NoSpacingChar">
    <w:name w:val="No Spacing Char"/>
    <w:link w:val="NoSpacing"/>
    <w:uiPriority w:val="1"/>
    <w:rsid w:val="005D3DA1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D3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DA1"/>
    <w:rPr>
      <w:i/>
    </w:rPr>
  </w:style>
  <w:style w:type="character" w:customStyle="1" w:styleId="QuoteChar">
    <w:name w:val="Quote Char"/>
    <w:link w:val="Quote"/>
    <w:uiPriority w:val="29"/>
    <w:rsid w:val="005D3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3DA1"/>
    <w:rPr>
      <w:b/>
      <w:i/>
      <w:sz w:val="24"/>
    </w:rPr>
  </w:style>
  <w:style w:type="character" w:styleId="SubtleEmphasis">
    <w:name w:val="Subtle Emphasis"/>
    <w:uiPriority w:val="19"/>
    <w:qFormat/>
    <w:rsid w:val="005D3DA1"/>
    <w:rPr>
      <w:i/>
      <w:color w:val="5A5A5A"/>
    </w:rPr>
  </w:style>
  <w:style w:type="character" w:styleId="IntenseEmphasis">
    <w:name w:val="Intense Emphasis"/>
    <w:uiPriority w:val="21"/>
    <w:qFormat/>
    <w:rsid w:val="005D3DA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3DA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3DA1"/>
    <w:rPr>
      <w:b/>
      <w:sz w:val="24"/>
      <w:u w:val="single"/>
    </w:rPr>
  </w:style>
  <w:style w:type="character" w:styleId="BookTitle">
    <w:name w:val="Book Title"/>
    <w:uiPriority w:val="33"/>
    <w:qFormat/>
    <w:rsid w:val="005D3D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DA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6213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A5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A9A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5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A9A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Wild</dc:creator>
  <cp:keywords/>
  <cp:lastModifiedBy>McIntyre-Reiger, Alyson</cp:lastModifiedBy>
  <cp:revision>4</cp:revision>
  <cp:lastPrinted>2017-06-12T22:06:00Z</cp:lastPrinted>
  <dcterms:created xsi:type="dcterms:W3CDTF">2017-07-08T19:51:00Z</dcterms:created>
  <dcterms:modified xsi:type="dcterms:W3CDTF">2017-08-17T19:00:00Z</dcterms:modified>
</cp:coreProperties>
</file>