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09B" w:rsidRDefault="0086709B"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5073650</wp:posOffset>
            </wp:positionH>
            <wp:positionV relativeFrom="paragraph">
              <wp:posOffset>-628650</wp:posOffset>
            </wp:positionV>
            <wp:extent cx="1108710" cy="1233805"/>
            <wp:effectExtent l="0" t="0" r="0" b="444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95"/>
        <w:gridCol w:w="4055"/>
        <w:gridCol w:w="720"/>
        <w:gridCol w:w="4090"/>
      </w:tblGrid>
      <w:tr w:rsidR="00FF2BE1" w:rsidRPr="003256DD" w:rsidTr="005878C6">
        <w:trPr>
          <w:trHeight w:val="144"/>
          <w:tblHeader/>
        </w:trPr>
        <w:tc>
          <w:tcPr>
            <w:tcW w:w="93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356" w:rsidRDefault="00FF2BE1" w:rsidP="000242BF">
            <w:pPr>
              <w:rPr>
                <w:sz w:val="20"/>
                <w:szCs w:val="20"/>
              </w:rPr>
            </w:pPr>
            <w:r w:rsidRPr="003256DD">
              <w:rPr>
                <w:b/>
                <w:sz w:val="27"/>
                <w:szCs w:val="27"/>
              </w:rPr>
              <w:t>National Standards for Family and Consumer Sciences Education</w:t>
            </w:r>
            <w:r w:rsidRPr="003256DD">
              <w:br/>
            </w:r>
            <w:r w:rsidRPr="003256DD">
              <w:rPr>
                <w:sz w:val="20"/>
                <w:szCs w:val="20"/>
              </w:rPr>
              <w:t>Copyright © 2018</w:t>
            </w:r>
            <w:r w:rsidR="003B0356">
              <w:rPr>
                <w:sz w:val="20"/>
                <w:szCs w:val="20"/>
              </w:rPr>
              <w:t xml:space="preserve"> </w:t>
            </w:r>
          </w:p>
          <w:p w:rsidR="00FF2BE1" w:rsidRPr="003256DD" w:rsidRDefault="00FF2BE1" w:rsidP="000242BF">
            <w:r w:rsidRPr="003256DD">
              <w:rPr>
                <w:sz w:val="20"/>
                <w:szCs w:val="20"/>
              </w:rPr>
              <w:t>Developed by National Association of State Administrators of Family and Consumer Sciences (NASAFACS)</w:t>
            </w:r>
          </w:p>
        </w:tc>
      </w:tr>
      <w:tr w:rsidR="00546520" w:rsidRPr="003256DD" w:rsidTr="005878C6">
        <w:trPr>
          <w:trHeight w:val="144"/>
          <w:tblHeader/>
        </w:trPr>
        <w:tc>
          <w:tcPr>
            <w:tcW w:w="93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spacing w:line="144" w:lineRule="atLeast"/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>Area of Study 2.0</w:t>
            </w:r>
          </w:p>
        </w:tc>
      </w:tr>
      <w:tr w:rsidR="00546520" w:rsidRPr="003256DD" w:rsidTr="005878C6">
        <w:trPr>
          <w:tblHeader/>
        </w:trPr>
        <w:tc>
          <w:tcPr>
            <w:tcW w:w="93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Default="00546520" w:rsidP="000242BF">
            <w:pPr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</w:pPr>
            <w:r w:rsidRPr="003256DD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>Consumer and Family Resources</w:t>
            </w:r>
          </w:p>
          <w:p w:rsidR="000242BF" w:rsidRPr="003256DD" w:rsidRDefault="000242BF" w:rsidP="000242BF">
            <w:pPr>
              <w:rPr>
                <w:rFonts w:eastAsia="Times New Roman"/>
                <w:lang w:bidi="ar-SA"/>
              </w:rPr>
            </w:pPr>
          </w:p>
        </w:tc>
      </w:tr>
      <w:tr w:rsidR="000242BF" w:rsidRPr="003256DD" w:rsidTr="005878C6">
        <w:tc>
          <w:tcPr>
            <w:tcW w:w="93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E" w:rsidRDefault="00BF622E" w:rsidP="00BF622E">
            <w:pPr>
              <w:rPr>
                <w:rFonts w:eastAsia="Times New Roman"/>
                <w:b/>
                <w:bCs/>
                <w:sz w:val="22"/>
                <w:szCs w:val="22"/>
                <w:lang w:bidi="ar-SA"/>
              </w:rPr>
            </w:pPr>
            <w:bookmarkStart w:id="0" w:name="_Hlk479078450"/>
            <w:r>
              <w:rPr>
                <w:rFonts w:eastAsia="Times New Roman"/>
                <w:b/>
                <w:bCs/>
                <w:sz w:val="22"/>
                <w:szCs w:val="22"/>
                <w:lang w:bidi="ar-SA"/>
              </w:rPr>
              <w:t>Usage Guidelines</w:t>
            </w:r>
          </w:p>
          <w:p w:rsidR="00424B1F" w:rsidRPr="00CF0FF0" w:rsidRDefault="00424B1F" w:rsidP="00424B1F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2"/>
                <w:szCs w:val="22"/>
                <w:lang w:bidi="ar-SA"/>
              </w:rPr>
            </w:pPr>
            <w:r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Family and Consumer 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Sciences National Standards are </w:t>
            </w:r>
            <w:r w:rsidRPr="00CF0FF0">
              <w:rPr>
                <w:rFonts w:eastAsia="Times New Roman" w:cs="Arial"/>
                <w:bCs/>
                <w:sz w:val="22"/>
                <w:szCs w:val="22"/>
                <w:u w:val="single"/>
                <w:lang w:bidi="ar-SA"/>
              </w:rPr>
              <w:t>outcomes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; that is, expectations of what students should know and be able to do upon completion of a sequence of courses in a defined pathway/program of study. </w:t>
            </w:r>
          </w:p>
          <w:p w:rsidR="00424B1F" w:rsidRPr="00CF0FF0" w:rsidRDefault="00424B1F" w:rsidP="00424B1F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As state or local curriculum is developed, the national standards should be utilized as indicators of student achievement at the end of the pathway/program of study. Benchmarks should be developed at the state or local level for student achievement in earlier courses. </w:t>
            </w:r>
          </w:p>
          <w:p w:rsidR="000242BF" w:rsidRPr="00C368FE" w:rsidRDefault="000242BF" w:rsidP="000242BF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The standards are </w:t>
            </w:r>
            <w:r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>grouped by Areas of Study, NOT by courses</w:t>
            </w:r>
            <w:r w:rsidR="005878C6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 or course sequences</w:t>
            </w:r>
            <w:r w:rsidR="005878C6"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. It is expected that content knowledge and skills from multiple Areas of Study </w:t>
            </w:r>
            <w:r w:rsidR="005878C6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would be utilized </w:t>
            </w:r>
            <w:r w:rsidR="005878C6"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when building courses </w:t>
            </w:r>
            <w:r w:rsidR="005878C6">
              <w:rPr>
                <w:rFonts w:eastAsia="Times New Roman" w:cs="Arial"/>
                <w:bCs/>
                <w:sz w:val="22"/>
                <w:szCs w:val="22"/>
                <w:lang w:bidi="ar-SA"/>
              </w:rPr>
              <w:t>and course sequences for related Career Pathways</w:t>
            </w:r>
            <w:r w:rsidR="005878C6"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 </w:t>
            </w:r>
            <w:r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for state or local uses. For example, standards from Area 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>2</w:t>
            </w:r>
            <w:r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>-C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onsumer and Family Resources </w:t>
            </w:r>
            <w:r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might be incorporated into 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>course sequences for several of the Areas of Study</w:t>
            </w:r>
            <w:r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>.</w:t>
            </w:r>
          </w:p>
          <w:bookmarkEnd w:id="0"/>
          <w:p w:rsidR="000242BF" w:rsidRPr="003256DD" w:rsidRDefault="000242BF" w:rsidP="000242BF">
            <w:pPr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546520" w:rsidRPr="003256DD" w:rsidTr="005878C6">
        <w:tc>
          <w:tcPr>
            <w:tcW w:w="93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>Comprehensive Standard</w:t>
            </w: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br/>
              <w:t>Evaluate management practices related to the human, economic, and environmental resources</w:t>
            </w:r>
            <w:r w:rsidR="001615FB">
              <w:rPr>
                <w:rFonts w:eastAsia="Times New Roman" w:cs="Arial"/>
                <w:sz w:val="22"/>
                <w:szCs w:val="22"/>
                <w:lang w:bidi="ar-SA"/>
              </w:rPr>
              <w:t xml:space="preserve"> in a global context</w:t>
            </w: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546520" w:rsidRPr="003256DD" w:rsidTr="00E60C06">
        <w:tc>
          <w:tcPr>
            <w:tcW w:w="45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48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546520" w:rsidRPr="003256DD" w:rsidTr="00E60C06">
        <w:tc>
          <w:tcPr>
            <w:tcW w:w="45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>Content Standards</w:t>
            </w:r>
          </w:p>
        </w:tc>
        <w:tc>
          <w:tcPr>
            <w:tcW w:w="48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>Competencies</w:t>
            </w:r>
          </w:p>
        </w:tc>
      </w:tr>
      <w:tr w:rsidR="00546520" w:rsidRPr="003256DD" w:rsidTr="00E60C06">
        <w:tc>
          <w:tcPr>
            <w:tcW w:w="4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2.1</w:t>
            </w:r>
          </w:p>
        </w:tc>
        <w:tc>
          <w:tcPr>
            <w:tcW w:w="40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Demonstrate management of individual and family resources such as food, clothing, shelter, health care, recreation, transportation, time, and human capital.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2.1.1</w:t>
            </w:r>
          </w:p>
        </w:tc>
        <w:tc>
          <w:tcPr>
            <w:tcW w:w="40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 xml:space="preserve">Apply </w:t>
            </w:r>
            <w:r w:rsidR="001615FB">
              <w:rPr>
                <w:rFonts w:eastAsia="Times New Roman" w:cs="Arial"/>
                <w:sz w:val="22"/>
                <w:szCs w:val="22"/>
                <w:lang w:bidi="ar-SA"/>
              </w:rPr>
              <w:t xml:space="preserve">time </w:t>
            </w: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management</w:t>
            </w:r>
            <w:r w:rsidR="001615FB">
              <w:rPr>
                <w:rFonts w:eastAsia="Times New Roman" w:cs="Arial"/>
                <w:sz w:val="22"/>
                <w:szCs w:val="22"/>
                <w:lang w:bidi="ar-SA"/>
              </w:rPr>
              <w:t>, organizational</w:t>
            </w:r>
            <w:r w:rsidR="008B0468">
              <w:rPr>
                <w:rFonts w:eastAsia="Times New Roman" w:cs="Arial"/>
                <w:sz w:val="22"/>
                <w:szCs w:val="22"/>
                <w:lang w:bidi="ar-SA"/>
              </w:rPr>
              <w:t>,</w:t>
            </w:r>
            <w:r w:rsidR="001615FB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 xml:space="preserve">and process </w:t>
            </w:r>
            <w:r w:rsidR="008B0468">
              <w:rPr>
                <w:rFonts w:eastAsia="Times New Roman" w:cs="Arial"/>
                <w:sz w:val="22"/>
                <w:szCs w:val="22"/>
                <w:lang w:bidi="ar-SA"/>
              </w:rPr>
              <w:t>skills</w:t>
            </w:r>
            <w:r w:rsidR="008B0468" w:rsidRPr="003256DD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 xml:space="preserve">to </w:t>
            </w:r>
            <w:r w:rsidR="001615FB">
              <w:rPr>
                <w:rFonts w:eastAsia="Times New Roman" w:cs="Arial"/>
                <w:sz w:val="22"/>
                <w:szCs w:val="22"/>
                <w:lang w:bidi="ar-SA"/>
              </w:rPr>
              <w:t>prioritize tasks and achieve goals</w:t>
            </w: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546520" w:rsidRPr="003256DD" w:rsidTr="00E60C06">
        <w:tc>
          <w:tcPr>
            <w:tcW w:w="0" w:type="auto"/>
            <w:vMerge/>
            <w:vAlign w:val="center"/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</w:p>
        </w:tc>
        <w:tc>
          <w:tcPr>
            <w:tcW w:w="4055" w:type="dxa"/>
            <w:vMerge/>
            <w:vAlign w:val="center"/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2.1.2</w:t>
            </w:r>
          </w:p>
        </w:tc>
        <w:tc>
          <w:tcPr>
            <w:tcW w:w="40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Analyze how individuals and families make choices to satisfy needs and wants.</w:t>
            </w:r>
          </w:p>
        </w:tc>
      </w:tr>
      <w:tr w:rsidR="00546520" w:rsidRPr="003256DD" w:rsidTr="00E60C06">
        <w:tc>
          <w:tcPr>
            <w:tcW w:w="0" w:type="auto"/>
            <w:vMerge/>
            <w:vAlign w:val="center"/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</w:p>
        </w:tc>
        <w:tc>
          <w:tcPr>
            <w:tcW w:w="4055" w:type="dxa"/>
            <w:vMerge/>
            <w:vAlign w:val="center"/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2.1.3</w:t>
            </w:r>
          </w:p>
        </w:tc>
        <w:tc>
          <w:tcPr>
            <w:tcW w:w="40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Analyze decisions about providing safe and nutritious food for individuals and families.</w:t>
            </w:r>
          </w:p>
        </w:tc>
      </w:tr>
      <w:tr w:rsidR="00546520" w:rsidRPr="003256DD" w:rsidTr="00E60C06">
        <w:tc>
          <w:tcPr>
            <w:tcW w:w="0" w:type="auto"/>
            <w:vMerge/>
            <w:vAlign w:val="center"/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</w:p>
        </w:tc>
        <w:tc>
          <w:tcPr>
            <w:tcW w:w="4055" w:type="dxa"/>
            <w:vMerge/>
            <w:vAlign w:val="center"/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2.1.4</w:t>
            </w:r>
          </w:p>
        </w:tc>
        <w:tc>
          <w:tcPr>
            <w:tcW w:w="40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Apply consumer skills to providing and maintaining clothing.</w:t>
            </w:r>
          </w:p>
        </w:tc>
      </w:tr>
      <w:tr w:rsidR="00546520" w:rsidRPr="003256DD" w:rsidTr="00E60C06">
        <w:tc>
          <w:tcPr>
            <w:tcW w:w="0" w:type="auto"/>
            <w:vMerge/>
            <w:vAlign w:val="center"/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</w:p>
        </w:tc>
        <w:tc>
          <w:tcPr>
            <w:tcW w:w="4055" w:type="dxa"/>
            <w:vMerge/>
            <w:vAlign w:val="center"/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2.1.5</w:t>
            </w:r>
          </w:p>
        </w:tc>
        <w:tc>
          <w:tcPr>
            <w:tcW w:w="40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Apply consumer skills to decisions about housing, utilities, and furnishings.</w:t>
            </w:r>
          </w:p>
        </w:tc>
      </w:tr>
      <w:tr w:rsidR="00546520" w:rsidRPr="003256DD" w:rsidTr="00E60C06">
        <w:tc>
          <w:tcPr>
            <w:tcW w:w="0" w:type="auto"/>
            <w:vMerge/>
            <w:vAlign w:val="center"/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</w:p>
        </w:tc>
        <w:tc>
          <w:tcPr>
            <w:tcW w:w="4055" w:type="dxa"/>
            <w:vMerge/>
            <w:vAlign w:val="center"/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2.1.6</w:t>
            </w:r>
          </w:p>
        </w:tc>
        <w:tc>
          <w:tcPr>
            <w:tcW w:w="40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Summarize information about procuring and maintaining health care to meet the needs of individuals and family members.</w:t>
            </w:r>
          </w:p>
        </w:tc>
      </w:tr>
      <w:tr w:rsidR="00546520" w:rsidRPr="003256DD" w:rsidTr="00E60C06">
        <w:tc>
          <w:tcPr>
            <w:tcW w:w="0" w:type="auto"/>
            <w:vMerge/>
            <w:vAlign w:val="center"/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</w:p>
        </w:tc>
        <w:tc>
          <w:tcPr>
            <w:tcW w:w="4055" w:type="dxa"/>
            <w:vMerge/>
            <w:vAlign w:val="center"/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2.1.7</w:t>
            </w:r>
          </w:p>
        </w:tc>
        <w:tc>
          <w:tcPr>
            <w:tcW w:w="40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Apply consumer skills to decisions about recreation.</w:t>
            </w:r>
          </w:p>
        </w:tc>
      </w:tr>
      <w:tr w:rsidR="00546520" w:rsidRPr="003256DD" w:rsidTr="00E60C06">
        <w:tc>
          <w:tcPr>
            <w:tcW w:w="0" w:type="auto"/>
            <w:vMerge/>
            <w:vAlign w:val="center"/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</w:p>
        </w:tc>
        <w:tc>
          <w:tcPr>
            <w:tcW w:w="4055" w:type="dxa"/>
            <w:vMerge/>
            <w:vAlign w:val="center"/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2.1.8</w:t>
            </w:r>
          </w:p>
        </w:tc>
        <w:tc>
          <w:tcPr>
            <w:tcW w:w="40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Apply consumer skills to acquire and maintain transportation that meets the needs of individuals and family members</w:t>
            </w:r>
          </w:p>
        </w:tc>
      </w:tr>
      <w:tr w:rsidR="00546520" w:rsidRPr="003256DD" w:rsidTr="00E60C06"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40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</w:tr>
      <w:tr w:rsidR="00546520" w:rsidRPr="003256DD" w:rsidTr="00E60C06">
        <w:tc>
          <w:tcPr>
            <w:tcW w:w="4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lastRenderedPageBreak/>
              <w:t>2.2</w:t>
            </w:r>
          </w:p>
        </w:tc>
        <w:tc>
          <w:tcPr>
            <w:tcW w:w="40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 xml:space="preserve">Analyze the relationship </w:t>
            </w:r>
            <w:r w:rsidR="001615FB">
              <w:rPr>
                <w:rFonts w:eastAsia="Times New Roman" w:cs="Arial"/>
                <w:sz w:val="22"/>
                <w:szCs w:val="22"/>
                <w:lang w:bidi="ar-SA"/>
              </w:rPr>
              <w:t xml:space="preserve">between </w:t>
            </w: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 xml:space="preserve">the </w:t>
            </w:r>
            <w:r w:rsidR="0018003D">
              <w:rPr>
                <w:rFonts w:eastAsia="Times New Roman" w:cs="Arial"/>
                <w:sz w:val="22"/>
                <w:szCs w:val="22"/>
                <w:lang w:bidi="ar-SA"/>
              </w:rPr>
              <w:t xml:space="preserve">global </w:t>
            </w: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 xml:space="preserve">environment </w:t>
            </w:r>
            <w:r w:rsidR="001615FB">
              <w:rPr>
                <w:rFonts w:eastAsia="Times New Roman" w:cs="Arial"/>
                <w:sz w:val="22"/>
                <w:szCs w:val="22"/>
                <w:lang w:bidi="ar-SA"/>
              </w:rPr>
              <w:t>and</w:t>
            </w:r>
            <w:r w:rsidR="001615FB" w:rsidRPr="003256DD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family and consumer resources.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2.2.1</w:t>
            </w:r>
          </w:p>
        </w:tc>
        <w:tc>
          <w:tcPr>
            <w:tcW w:w="40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Analyze individual and family responsibility in relation to the environmental trends and issues.</w:t>
            </w:r>
          </w:p>
        </w:tc>
      </w:tr>
      <w:tr w:rsidR="00546520" w:rsidRPr="003256DD" w:rsidTr="00E60C06">
        <w:tc>
          <w:tcPr>
            <w:tcW w:w="0" w:type="auto"/>
            <w:vMerge/>
            <w:vAlign w:val="center"/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</w:p>
        </w:tc>
        <w:tc>
          <w:tcPr>
            <w:tcW w:w="4055" w:type="dxa"/>
            <w:vMerge/>
            <w:vAlign w:val="center"/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2.2.2</w:t>
            </w:r>
          </w:p>
        </w:tc>
        <w:tc>
          <w:tcPr>
            <w:tcW w:w="40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Summarize environmental trends and issues affecting families and future generations.</w:t>
            </w:r>
          </w:p>
        </w:tc>
      </w:tr>
      <w:tr w:rsidR="00546520" w:rsidRPr="003256DD" w:rsidTr="00E60C06">
        <w:tc>
          <w:tcPr>
            <w:tcW w:w="0" w:type="auto"/>
            <w:vMerge/>
            <w:vAlign w:val="center"/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</w:p>
        </w:tc>
        <w:tc>
          <w:tcPr>
            <w:tcW w:w="4055" w:type="dxa"/>
            <w:vMerge/>
            <w:vAlign w:val="center"/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2.2.3</w:t>
            </w:r>
          </w:p>
        </w:tc>
        <w:tc>
          <w:tcPr>
            <w:tcW w:w="40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Demonstrate behaviors that conserve, reuse, and recycle resources to maintain the environment.</w:t>
            </w:r>
          </w:p>
        </w:tc>
      </w:tr>
      <w:tr w:rsidR="00546520" w:rsidRPr="003256DD" w:rsidTr="00E60C06">
        <w:tc>
          <w:tcPr>
            <w:tcW w:w="0" w:type="auto"/>
            <w:vMerge/>
            <w:vAlign w:val="center"/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</w:p>
        </w:tc>
        <w:tc>
          <w:tcPr>
            <w:tcW w:w="4055" w:type="dxa"/>
            <w:vMerge/>
            <w:vAlign w:val="center"/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2.2.4</w:t>
            </w:r>
          </w:p>
        </w:tc>
        <w:tc>
          <w:tcPr>
            <w:tcW w:w="40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8201B9" w:rsidP="000242BF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 w:cs="Arial"/>
                <w:sz w:val="22"/>
                <w:szCs w:val="22"/>
                <w:lang w:bidi="ar-SA"/>
              </w:rPr>
              <w:t>Evaluate</w:t>
            </w: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  <w:r w:rsidR="00546520" w:rsidRPr="003256DD">
              <w:rPr>
                <w:rFonts w:eastAsia="Times New Roman" w:cs="Arial"/>
                <w:sz w:val="22"/>
                <w:szCs w:val="22"/>
                <w:lang w:bidi="ar-SA"/>
              </w:rPr>
              <w:t>government regulations for conserving natural resources.</w:t>
            </w:r>
          </w:p>
        </w:tc>
      </w:tr>
      <w:tr w:rsidR="00546520" w:rsidRPr="003256DD" w:rsidTr="00E60C06"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40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</w:tr>
      <w:tr w:rsidR="00546520" w:rsidRPr="003256DD" w:rsidTr="00E60C06">
        <w:tc>
          <w:tcPr>
            <w:tcW w:w="4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2.3</w:t>
            </w:r>
          </w:p>
        </w:tc>
        <w:tc>
          <w:tcPr>
            <w:tcW w:w="40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Analyze policies that support consumer rights and responsibilities.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2.3.1</w:t>
            </w:r>
          </w:p>
        </w:tc>
        <w:tc>
          <w:tcPr>
            <w:tcW w:w="40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Analyze state and federal policies and laws providing consumer protection.</w:t>
            </w:r>
          </w:p>
        </w:tc>
      </w:tr>
      <w:tr w:rsidR="00546520" w:rsidRPr="003256DD" w:rsidTr="00E60C06">
        <w:tc>
          <w:tcPr>
            <w:tcW w:w="0" w:type="auto"/>
            <w:vMerge/>
            <w:vAlign w:val="center"/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</w:p>
        </w:tc>
        <w:tc>
          <w:tcPr>
            <w:tcW w:w="4055" w:type="dxa"/>
            <w:vMerge/>
            <w:vAlign w:val="center"/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2.3.2</w:t>
            </w:r>
          </w:p>
        </w:tc>
        <w:tc>
          <w:tcPr>
            <w:tcW w:w="40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Analyze how policies become laws relating to consumer rights.</w:t>
            </w:r>
          </w:p>
        </w:tc>
      </w:tr>
      <w:tr w:rsidR="00546520" w:rsidRPr="003256DD" w:rsidTr="00E60C06">
        <w:tc>
          <w:tcPr>
            <w:tcW w:w="0" w:type="auto"/>
            <w:vMerge/>
            <w:vAlign w:val="center"/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</w:p>
        </w:tc>
        <w:tc>
          <w:tcPr>
            <w:tcW w:w="4055" w:type="dxa"/>
            <w:vMerge/>
            <w:vAlign w:val="center"/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2.3.3</w:t>
            </w:r>
          </w:p>
        </w:tc>
        <w:tc>
          <w:tcPr>
            <w:tcW w:w="40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18003D" w:rsidP="000242BF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 w:cs="Arial"/>
                <w:sz w:val="22"/>
                <w:szCs w:val="22"/>
                <w:lang w:bidi="ar-SA"/>
              </w:rPr>
              <w:t>Apply</w:t>
            </w: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  <w:r w:rsidR="00546520" w:rsidRPr="003256DD">
              <w:rPr>
                <w:rFonts w:eastAsia="Times New Roman" w:cs="Arial"/>
                <w:sz w:val="22"/>
                <w:szCs w:val="22"/>
                <w:lang w:bidi="ar-SA"/>
              </w:rPr>
              <w:t xml:space="preserve">skills </w:t>
            </w:r>
            <w:r w:rsidR="00EC661B">
              <w:rPr>
                <w:rFonts w:eastAsia="Times New Roman" w:cs="Arial"/>
                <w:sz w:val="22"/>
                <w:szCs w:val="22"/>
                <w:lang w:bidi="ar-SA"/>
              </w:rPr>
              <w:t>to seek information regarding consumer rights.</w:t>
            </w:r>
          </w:p>
        </w:tc>
      </w:tr>
      <w:tr w:rsidR="00546520" w:rsidRPr="003256DD" w:rsidTr="00E60C06"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40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</w:tr>
      <w:tr w:rsidR="00546520" w:rsidRPr="003256DD" w:rsidTr="00E60C06">
        <w:tc>
          <w:tcPr>
            <w:tcW w:w="4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2.4</w:t>
            </w:r>
          </w:p>
        </w:tc>
        <w:tc>
          <w:tcPr>
            <w:tcW w:w="40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Evaluate the effects of technology on individual and family resources</w:t>
            </w:r>
            <w:r w:rsidR="0018003D">
              <w:rPr>
                <w:rFonts w:eastAsia="Times New Roman" w:cs="Arial"/>
                <w:sz w:val="22"/>
                <w:szCs w:val="22"/>
                <w:lang w:bidi="ar-SA"/>
              </w:rPr>
              <w:t xml:space="preserve"> in a global context</w:t>
            </w: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2.4.1</w:t>
            </w:r>
          </w:p>
        </w:tc>
        <w:tc>
          <w:tcPr>
            <w:tcW w:w="40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212BF8" w:rsidP="000242BF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 w:cs="Arial"/>
                <w:sz w:val="22"/>
                <w:szCs w:val="22"/>
                <w:lang w:bidi="ar-SA"/>
              </w:rPr>
              <w:t>Analyze</w:t>
            </w:r>
            <w:r w:rsidR="0018003D">
              <w:rPr>
                <w:rFonts w:eastAsia="Times New Roman" w:cs="Arial"/>
                <w:sz w:val="22"/>
                <w:szCs w:val="22"/>
                <w:lang w:bidi="ar-SA"/>
              </w:rPr>
              <w:t xml:space="preserve"> the</w:t>
            </w:r>
            <w:r w:rsidR="0018003D" w:rsidRPr="003256DD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  <w:r w:rsidR="00546520" w:rsidRPr="003256DD">
              <w:rPr>
                <w:rFonts w:eastAsia="Times New Roman" w:cs="Arial"/>
                <w:sz w:val="22"/>
                <w:szCs w:val="22"/>
                <w:lang w:bidi="ar-SA"/>
              </w:rPr>
              <w:t>types of technology</w:t>
            </w:r>
            <w:r w:rsidR="00EC661B">
              <w:rPr>
                <w:rFonts w:eastAsia="Times New Roman" w:cs="Arial"/>
                <w:sz w:val="22"/>
                <w:szCs w:val="22"/>
                <w:lang w:bidi="ar-SA"/>
              </w:rPr>
              <w:t xml:space="preserve"> and software programs</w:t>
            </w:r>
            <w:r w:rsidR="00546520" w:rsidRPr="003256DD">
              <w:rPr>
                <w:rFonts w:eastAsia="Times New Roman" w:cs="Arial"/>
                <w:sz w:val="22"/>
                <w:szCs w:val="22"/>
                <w:lang w:bidi="ar-SA"/>
              </w:rPr>
              <w:t xml:space="preserve"> that affect family and consumer decision-making.</w:t>
            </w:r>
          </w:p>
        </w:tc>
      </w:tr>
      <w:tr w:rsidR="00546520" w:rsidRPr="003256DD" w:rsidTr="00E60C06">
        <w:tc>
          <w:tcPr>
            <w:tcW w:w="0" w:type="auto"/>
            <w:vMerge/>
            <w:vAlign w:val="center"/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</w:p>
        </w:tc>
        <w:tc>
          <w:tcPr>
            <w:tcW w:w="4055" w:type="dxa"/>
            <w:vMerge/>
            <w:vAlign w:val="center"/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2.4.2</w:t>
            </w:r>
          </w:p>
        </w:tc>
        <w:tc>
          <w:tcPr>
            <w:tcW w:w="40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 xml:space="preserve">Analyze how media </w:t>
            </w:r>
            <w:r w:rsidR="00016B12">
              <w:rPr>
                <w:rFonts w:eastAsia="Times New Roman" w:cs="Arial"/>
                <w:sz w:val="22"/>
                <w:szCs w:val="22"/>
                <w:lang w:bidi="ar-SA"/>
              </w:rPr>
              <w:t>and technological advances influence</w:t>
            </w: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 xml:space="preserve"> family and consumer </w:t>
            </w:r>
            <w:r w:rsidR="00D50EFD">
              <w:rPr>
                <w:rFonts w:eastAsia="Times New Roman" w:cs="Arial"/>
                <w:sz w:val="22"/>
                <w:szCs w:val="22"/>
                <w:lang w:bidi="ar-SA"/>
              </w:rPr>
              <w:t>d</w:t>
            </w: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ecisions.</w:t>
            </w:r>
          </w:p>
        </w:tc>
      </w:tr>
      <w:tr w:rsidR="00546520" w:rsidRPr="003256DD" w:rsidTr="00E60C06">
        <w:tc>
          <w:tcPr>
            <w:tcW w:w="0" w:type="auto"/>
            <w:vMerge/>
            <w:vAlign w:val="center"/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</w:p>
        </w:tc>
        <w:tc>
          <w:tcPr>
            <w:tcW w:w="4055" w:type="dxa"/>
            <w:vMerge/>
            <w:vAlign w:val="center"/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2.4.3</w:t>
            </w:r>
          </w:p>
        </w:tc>
        <w:tc>
          <w:tcPr>
            <w:tcW w:w="40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Assess the use of technology and its effect on quality of life.</w:t>
            </w:r>
          </w:p>
        </w:tc>
      </w:tr>
      <w:tr w:rsidR="00546520" w:rsidRPr="003256DD" w:rsidTr="00E60C06">
        <w:tc>
          <w:tcPr>
            <w:tcW w:w="495" w:type="dxa"/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4055" w:type="dxa"/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20" w:type="dxa"/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4090" w:type="dxa"/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</w:tr>
      <w:tr w:rsidR="00546520" w:rsidRPr="003256DD" w:rsidTr="00E60C06">
        <w:tc>
          <w:tcPr>
            <w:tcW w:w="4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2.5</w:t>
            </w:r>
          </w:p>
        </w:tc>
        <w:tc>
          <w:tcPr>
            <w:tcW w:w="40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Analyze relationships between the economic system and consumer actions</w:t>
            </w:r>
            <w:r w:rsidR="0018003D">
              <w:rPr>
                <w:rFonts w:eastAsia="Times New Roman" w:cs="Arial"/>
                <w:sz w:val="22"/>
                <w:szCs w:val="22"/>
                <w:lang w:bidi="ar-SA"/>
              </w:rPr>
              <w:t xml:space="preserve"> in a global context</w:t>
            </w: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2.5.1</w:t>
            </w:r>
          </w:p>
        </w:tc>
        <w:tc>
          <w:tcPr>
            <w:tcW w:w="40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Analyze the use of resources in making choices that satisfy needs and wants of individuals</w:t>
            </w:r>
            <w:r w:rsidR="00C978A1">
              <w:rPr>
                <w:rFonts w:eastAsia="Times New Roman" w:cs="Arial"/>
                <w:sz w:val="22"/>
                <w:szCs w:val="22"/>
                <w:lang w:bidi="ar-SA"/>
              </w:rPr>
              <w:t>,</w:t>
            </w: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 xml:space="preserve"> families</w:t>
            </w:r>
            <w:r w:rsidR="00C978A1">
              <w:rPr>
                <w:rFonts w:eastAsia="Times New Roman" w:cs="Arial"/>
                <w:sz w:val="22"/>
                <w:szCs w:val="22"/>
                <w:lang w:bidi="ar-SA"/>
              </w:rPr>
              <w:t>, and communities</w:t>
            </w: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546520" w:rsidRPr="003256DD" w:rsidTr="00E60C06">
        <w:tc>
          <w:tcPr>
            <w:tcW w:w="0" w:type="auto"/>
            <w:vMerge/>
            <w:vAlign w:val="center"/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</w:p>
        </w:tc>
        <w:tc>
          <w:tcPr>
            <w:tcW w:w="4055" w:type="dxa"/>
            <w:vMerge/>
            <w:vAlign w:val="center"/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2.5.2</w:t>
            </w:r>
          </w:p>
        </w:tc>
        <w:tc>
          <w:tcPr>
            <w:tcW w:w="40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Analyze individual and family roles in the economic system.</w:t>
            </w:r>
          </w:p>
        </w:tc>
      </w:tr>
      <w:tr w:rsidR="00546520" w:rsidRPr="003256DD" w:rsidTr="00E60C06">
        <w:tc>
          <w:tcPr>
            <w:tcW w:w="0" w:type="auto"/>
            <w:vMerge/>
            <w:vAlign w:val="center"/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</w:p>
        </w:tc>
        <w:tc>
          <w:tcPr>
            <w:tcW w:w="4055" w:type="dxa"/>
            <w:vMerge/>
            <w:vAlign w:val="center"/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2.5.3</w:t>
            </w:r>
          </w:p>
        </w:tc>
        <w:tc>
          <w:tcPr>
            <w:tcW w:w="40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Analyze economic effects of laws and regulations that pertain to consumers and providers of services.</w:t>
            </w:r>
          </w:p>
        </w:tc>
      </w:tr>
      <w:tr w:rsidR="00546520" w:rsidRPr="003256DD" w:rsidTr="00E60C06">
        <w:tc>
          <w:tcPr>
            <w:tcW w:w="0" w:type="auto"/>
            <w:vMerge/>
            <w:vAlign w:val="center"/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</w:p>
        </w:tc>
        <w:tc>
          <w:tcPr>
            <w:tcW w:w="4055" w:type="dxa"/>
            <w:vMerge/>
            <w:vAlign w:val="center"/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2.5.4</w:t>
            </w:r>
          </w:p>
        </w:tc>
        <w:tc>
          <w:tcPr>
            <w:tcW w:w="40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Analyze practices that allow families to maintain economic self-sufficiency.</w:t>
            </w:r>
          </w:p>
        </w:tc>
      </w:tr>
      <w:tr w:rsidR="00546520" w:rsidRPr="003256DD" w:rsidTr="00E60C06"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40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Default="00546520" w:rsidP="000242BF">
            <w:pPr>
              <w:rPr>
                <w:rFonts w:eastAsia="Times New Roman"/>
                <w:sz w:val="22"/>
                <w:szCs w:val="22"/>
                <w:lang w:bidi="ar-SA"/>
              </w:rPr>
            </w:pPr>
            <w:r w:rsidRPr="003256DD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  <w:p w:rsidR="003C2FF8" w:rsidRDefault="003C2FF8" w:rsidP="000242BF">
            <w:pPr>
              <w:rPr>
                <w:rFonts w:eastAsia="Times New Roman"/>
                <w:sz w:val="22"/>
                <w:szCs w:val="22"/>
                <w:lang w:bidi="ar-SA"/>
              </w:rPr>
            </w:pPr>
          </w:p>
          <w:p w:rsidR="003C2FF8" w:rsidRPr="003256DD" w:rsidRDefault="003C2FF8" w:rsidP="000242BF">
            <w:pPr>
              <w:rPr>
                <w:rFonts w:eastAsia="Times New Roman"/>
                <w:lang w:bidi="ar-SA"/>
              </w:rPr>
            </w:pPr>
            <w:bookmarkStart w:id="1" w:name="_GoBack"/>
            <w:bookmarkEnd w:id="1"/>
          </w:p>
        </w:tc>
      </w:tr>
      <w:tr w:rsidR="00546520" w:rsidRPr="003256DD" w:rsidTr="00E60C06">
        <w:tc>
          <w:tcPr>
            <w:tcW w:w="4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lastRenderedPageBreak/>
              <w:t>2.6</w:t>
            </w:r>
          </w:p>
        </w:tc>
        <w:tc>
          <w:tcPr>
            <w:tcW w:w="40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Demonstrate management of financial resources to meet the goals of individuals and families across the life span.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2.6.1</w:t>
            </w:r>
          </w:p>
        </w:tc>
        <w:tc>
          <w:tcPr>
            <w:tcW w:w="40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Evaluate the need for personal and family financial planning.</w:t>
            </w:r>
          </w:p>
        </w:tc>
      </w:tr>
      <w:tr w:rsidR="00546520" w:rsidRPr="003256DD" w:rsidTr="00E60C06">
        <w:tc>
          <w:tcPr>
            <w:tcW w:w="0" w:type="auto"/>
            <w:vMerge/>
            <w:vAlign w:val="center"/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</w:p>
        </w:tc>
        <w:tc>
          <w:tcPr>
            <w:tcW w:w="4055" w:type="dxa"/>
            <w:vMerge/>
            <w:vAlign w:val="center"/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2.6.2</w:t>
            </w:r>
          </w:p>
        </w:tc>
        <w:tc>
          <w:tcPr>
            <w:tcW w:w="40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 xml:space="preserve">Apply </w:t>
            </w:r>
            <w:r w:rsidR="00B23103">
              <w:rPr>
                <w:rFonts w:eastAsia="Times New Roman" w:cs="Arial"/>
                <w:sz w:val="22"/>
                <w:szCs w:val="22"/>
                <w:lang w:bidi="ar-SA"/>
              </w:rPr>
              <w:t xml:space="preserve">financial </w:t>
            </w: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management principles to individual and family financial practices.</w:t>
            </w:r>
            <w:r w:rsidR="00EC346E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</w:p>
        </w:tc>
      </w:tr>
      <w:tr w:rsidR="00546520" w:rsidRPr="003256DD" w:rsidTr="00E60C06">
        <w:tc>
          <w:tcPr>
            <w:tcW w:w="0" w:type="auto"/>
            <w:vMerge/>
            <w:vAlign w:val="center"/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</w:p>
        </w:tc>
        <w:tc>
          <w:tcPr>
            <w:tcW w:w="4055" w:type="dxa"/>
            <w:vMerge/>
            <w:vAlign w:val="center"/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2.6.3</w:t>
            </w:r>
          </w:p>
        </w:tc>
        <w:tc>
          <w:tcPr>
            <w:tcW w:w="40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Apply management principles to decisions about insurance for individuals and families.</w:t>
            </w:r>
          </w:p>
        </w:tc>
      </w:tr>
      <w:tr w:rsidR="00546520" w:rsidRPr="003256DD" w:rsidTr="00E60C06">
        <w:tc>
          <w:tcPr>
            <w:tcW w:w="0" w:type="auto"/>
            <w:vMerge/>
            <w:vAlign w:val="center"/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</w:p>
        </w:tc>
        <w:tc>
          <w:tcPr>
            <w:tcW w:w="4055" w:type="dxa"/>
            <w:vMerge/>
            <w:vAlign w:val="center"/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2.6.4</w:t>
            </w:r>
          </w:p>
        </w:tc>
        <w:tc>
          <w:tcPr>
            <w:tcW w:w="40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520" w:rsidRPr="003256DD" w:rsidRDefault="00546520" w:rsidP="000242BF">
            <w:pPr>
              <w:rPr>
                <w:rFonts w:eastAsia="Times New Roman"/>
                <w:lang w:bidi="ar-SA"/>
              </w:rPr>
            </w:pP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 xml:space="preserve">Evaluate personal and legal documents related to </w:t>
            </w:r>
            <w:r w:rsidR="0018003D">
              <w:rPr>
                <w:rFonts w:eastAsia="Times New Roman" w:cs="Arial"/>
                <w:sz w:val="22"/>
                <w:szCs w:val="22"/>
                <w:lang w:bidi="ar-SA"/>
              </w:rPr>
              <w:t>effective management of</w:t>
            </w:r>
            <w:r w:rsidR="0018003D" w:rsidRPr="003256DD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  <w:r w:rsidRPr="003256DD">
              <w:rPr>
                <w:rFonts w:eastAsia="Times New Roman" w:cs="Arial"/>
                <w:sz w:val="22"/>
                <w:szCs w:val="22"/>
                <w:lang w:bidi="ar-SA"/>
              </w:rPr>
              <w:t>individual and family finances.</w:t>
            </w:r>
          </w:p>
        </w:tc>
      </w:tr>
      <w:tr w:rsidR="001F4055" w:rsidRPr="003256DD" w:rsidTr="00E60C06">
        <w:tc>
          <w:tcPr>
            <w:tcW w:w="495" w:type="dxa"/>
          </w:tcPr>
          <w:p w:rsidR="001F4055" w:rsidRPr="0036322A" w:rsidRDefault="001F4055" w:rsidP="00641795">
            <w:pPr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4055" w:type="dxa"/>
          </w:tcPr>
          <w:p w:rsidR="001F4055" w:rsidRPr="0036322A" w:rsidRDefault="001F4055" w:rsidP="00641795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55" w:rsidRPr="0036322A" w:rsidRDefault="001F4055" w:rsidP="00641795">
            <w:pPr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4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055" w:rsidRPr="0036322A" w:rsidRDefault="001F4055" w:rsidP="00641795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</w:p>
        </w:tc>
      </w:tr>
      <w:tr w:rsidR="00E60C06" w:rsidRPr="003256DD" w:rsidTr="00E60C06">
        <w:tc>
          <w:tcPr>
            <w:tcW w:w="495" w:type="dxa"/>
            <w:vMerge w:val="restart"/>
          </w:tcPr>
          <w:p w:rsidR="00E60C06" w:rsidRPr="0036322A" w:rsidRDefault="00E60C06" w:rsidP="00641795">
            <w:pPr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36322A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2.7</w:t>
            </w:r>
          </w:p>
        </w:tc>
        <w:tc>
          <w:tcPr>
            <w:tcW w:w="4055" w:type="dxa"/>
            <w:vMerge w:val="restart"/>
          </w:tcPr>
          <w:p w:rsidR="00E60C06" w:rsidRPr="0036322A" w:rsidRDefault="00E60C06" w:rsidP="00641795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36322A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 xml:space="preserve">Demonstrate the </w:t>
            </w:r>
            <w:r w:rsidRPr="0036322A">
              <w:rPr>
                <w:rFonts w:asciiTheme="minorHAnsi" w:hAnsiTheme="minorHAnsi" w:cstheme="minorHAnsi"/>
                <w:sz w:val="22"/>
                <w:szCs w:val="22"/>
              </w:rPr>
              <w:t>ability to use knowledge and skills to manage one's financial resources effectively for a lifetime of financial security.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06" w:rsidRPr="0036322A" w:rsidRDefault="00E60C06" w:rsidP="00641795">
            <w:pPr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36322A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2.7.1</w:t>
            </w:r>
          </w:p>
        </w:tc>
        <w:tc>
          <w:tcPr>
            <w:tcW w:w="4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06" w:rsidRPr="0036322A" w:rsidRDefault="00E60C06" w:rsidP="00641795">
            <w:pPr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36322A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Demonstrate management of individual and family finances by applying reliable information and systematic decision making.</w:t>
            </w:r>
          </w:p>
        </w:tc>
      </w:tr>
      <w:tr w:rsidR="00E60C06" w:rsidRPr="003256DD" w:rsidTr="00E60C06">
        <w:tc>
          <w:tcPr>
            <w:tcW w:w="495" w:type="dxa"/>
            <w:vMerge/>
          </w:tcPr>
          <w:p w:rsidR="00E60C06" w:rsidRPr="0036322A" w:rsidRDefault="00E60C06" w:rsidP="00641795">
            <w:pPr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4055" w:type="dxa"/>
            <w:vMerge/>
          </w:tcPr>
          <w:p w:rsidR="00E60C06" w:rsidRPr="0036322A" w:rsidRDefault="00E60C06" w:rsidP="00641795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06" w:rsidRPr="0036322A" w:rsidRDefault="00E60C06" w:rsidP="00641795">
            <w:pPr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36322A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2.7.2</w:t>
            </w:r>
          </w:p>
        </w:tc>
        <w:tc>
          <w:tcPr>
            <w:tcW w:w="4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06" w:rsidRPr="0036322A" w:rsidRDefault="00E60C06" w:rsidP="00641795">
            <w:pPr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36322A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Analyze how education, income, career, and life choices relate to achieving financial goals.</w:t>
            </w:r>
          </w:p>
        </w:tc>
      </w:tr>
      <w:tr w:rsidR="00E60C06" w:rsidRPr="003256DD" w:rsidTr="00E60C06">
        <w:tc>
          <w:tcPr>
            <w:tcW w:w="495" w:type="dxa"/>
            <w:vMerge/>
          </w:tcPr>
          <w:p w:rsidR="00E60C06" w:rsidRPr="0036322A" w:rsidRDefault="00E60C06" w:rsidP="00641795">
            <w:pPr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4055" w:type="dxa"/>
            <w:vMerge/>
          </w:tcPr>
          <w:p w:rsidR="00E60C06" w:rsidRPr="0036322A" w:rsidRDefault="00E60C06" w:rsidP="00641795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06" w:rsidRPr="0036322A" w:rsidRDefault="00E60C06" w:rsidP="00641795">
            <w:pPr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36322A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2.7.3</w:t>
            </w:r>
          </w:p>
        </w:tc>
        <w:tc>
          <w:tcPr>
            <w:tcW w:w="4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06" w:rsidRPr="0036322A" w:rsidRDefault="00E60C06" w:rsidP="00641795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36322A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Manage money effectively by developing financial goals and budgets.</w:t>
            </w:r>
          </w:p>
        </w:tc>
      </w:tr>
      <w:tr w:rsidR="00E60C06" w:rsidRPr="003256DD" w:rsidTr="00E60C06">
        <w:tc>
          <w:tcPr>
            <w:tcW w:w="495" w:type="dxa"/>
            <w:vMerge/>
          </w:tcPr>
          <w:p w:rsidR="00E60C06" w:rsidRPr="0036322A" w:rsidRDefault="00E60C06" w:rsidP="00641795">
            <w:pPr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4055" w:type="dxa"/>
            <w:vMerge/>
          </w:tcPr>
          <w:p w:rsidR="00E60C06" w:rsidRPr="0036322A" w:rsidRDefault="00E60C06" w:rsidP="00641795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06" w:rsidRPr="0036322A" w:rsidRDefault="00E60C06" w:rsidP="00641795">
            <w:pPr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36322A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2.7.4</w:t>
            </w:r>
          </w:p>
        </w:tc>
        <w:tc>
          <w:tcPr>
            <w:tcW w:w="4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06" w:rsidRPr="0036322A" w:rsidRDefault="00E60C06" w:rsidP="00641795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36322A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Manage credit and debt to remain both creditworthy and financially secure.</w:t>
            </w:r>
          </w:p>
        </w:tc>
      </w:tr>
      <w:tr w:rsidR="00E60C06" w:rsidRPr="003256DD" w:rsidTr="00E60C06">
        <w:tc>
          <w:tcPr>
            <w:tcW w:w="495" w:type="dxa"/>
            <w:vMerge/>
          </w:tcPr>
          <w:p w:rsidR="00E60C06" w:rsidRPr="0036322A" w:rsidRDefault="00E60C06" w:rsidP="00641795">
            <w:pPr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4055" w:type="dxa"/>
            <w:vMerge/>
          </w:tcPr>
          <w:p w:rsidR="00E60C06" w:rsidRPr="0036322A" w:rsidRDefault="00E60C06" w:rsidP="00641795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06" w:rsidRPr="0036322A" w:rsidRDefault="00E60C06" w:rsidP="00641795">
            <w:pPr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36322A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2.7.5</w:t>
            </w:r>
          </w:p>
        </w:tc>
        <w:tc>
          <w:tcPr>
            <w:tcW w:w="4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06" w:rsidRPr="0036322A" w:rsidRDefault="00E60C06" w:rsidP="00641795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36322A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Analyze the features of insurance, its role in balancing risk and benefits in financial planning.</w:t>
            </w:r>
          </w:p>
        </w:tc>
      </w:tr>
      <w:tr w:rsidR="00E60C06" w:rsidRPr="003256DD" w:rsidTr="00E60C06">
        <w:tc>
          <w:tcPr>
            <w:tcW w:w="495" w:type="dxa"/>
            <w:vMerge/>
          </w:tcPr>
          <w:p w:rsidR="00E60C06" w:rsidRPr="0036322A" w:rsidRDefault="00E60C06" w:rsidP="00641795">
            <w:pPr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4055" w:type="dxa"/>
            <w:vMerge/>
          </w:tcPr>
          <w:p w:rsidR="00E60C06" w:rsidRPr="0036322A" w:rsidRDefault="00E60C06" w:rsidP="00641795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06" w:rsidRPr="0036322A" w:rsidRDefault="00E60C06" w:rsidP="00641795">
            <w:pPr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</w:pPr>
            <w:r w:rsidRPr="0036322A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2.7.6</w:t>
            </w:r>
          </w:p>
        </w:tc>
        <w:tc>
          <w:tcPr>
            <w:tcW w:w="4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06" w:rsidRPr="0036322A" w:rsidRDefault="00E60C06" w:rsidP="00641795">
            <w:pPr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36322A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>Analyze saving and investing to build long-term financial security and wealth.</w:t>
            </w:r>
          </w:p>
        </w:tc>
      </w:tr>
    </w:tbl>
    <w:p w:rsidR="004E3EBB" w:rsidRDefault="004E3EBB" w:rsidP="000242BF"/>
    <w:sectPr w:rsidR="004E3EBB" w:rsidSect="004E3EB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D68" w:rsidRDefault="000E4D68" w:rsidP="005878C6">
      <w:r>
        <w:separator/>
      </w:r>
    </w:p>
  </w:endnote>
  <w:endnote w:type="continuationSeparator" w:id="0">
    <w:p w:rsidR="000E4D68" w:rsidRDefault="000E4D68" w:rsidP="0058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22E" w:rsidRDefault="00BF622E" w:rsidP="005878C6">
    <w:pPr>
      <w:pStyle w:val="Footer"/>
      <w:pBdr>
        <w:top w:val="single" w:sz="4" w:space="1" w:color="auto"/>
      </w:pBdr>
      <w:jc w:val="center"/>
      <w:rPr>
        <w:sz w:val="22"/>
        <w:szCs w:val="22"/>
      </w:rPr>
    </w:pPr>
    <w:bookmarkStart w:id="2" w:name="_Hlk481867084"/>
    <w:bookmarkStart w:id="3" w:name="_Hlk481867085"/>
    <w:r>
      <w:rPr>
        <w:sz w:val="22"/>
        <w:szCs w:val="22"/>
      </w:rPr>
      <w:t>FCS National Standards 3.0 (NASAFACS 2018)</w:t>
    </w:r>
  </w:p>
  <w:p w:rsidR="005878C6" w:rsidRPr="00BE2588" w:rsidRDefault="005878C6" w:rsidP="005878C6">
    <w:pPr>
      <w:pStyle w:val="Footer"/>
      <w:pBdr>
        <w:top w:val="single" w:sz="4" w:space="1" w:color="auto"/>
      </w:pBdr>
      <w:jc w:val="center"/>
      <w:rPr>
        <w:sz w:val="22"/>
        <w:szCs w:val="22"/>
      </w:rPr>
    </w:pPr>
    <w:r w:rsidRPr="00BE2588">
      <w:rPr>
        <w:sz w:val="22"/>
        <w:szCs w:val="22"/>
      </w:rPr>
      <w:t xml:space="preserve">Area of Study </w:t>
    </w:r>
    <w:r>
      <w:rPr>
        <w:sz w:val="22"/>
        <w:szCs w:val="22"/>
      </w:rPr>
      <w:t>2</w:t>
    </w:r>
    <w:r w:rsidRPr="00BE2588">
      <w:rPr>
        <w:sz w:val="22"/>
        <w:szCs w:val="22"/>
      </w:rPr>
      <w:t xml:space="preserve"> </w:t>
    </w:r>
    <w:r>
      <w:rPr>
        <w:sz w:val="22"/>
        <w:szCs w:val="22"/>
      </w:rPr>
      <w:t>Consumer and Family Resources</w:t>
    </w:r>
    <w:r w:rsidRPr="00BE2588">
      <w:rPr>
        <w:sz w:val="22"/>
        <w:szCs w:val="22"/>
      </w:rPr>
      <w:t xml:space="preserve">, </w:t>
    </w:r>
    <w:r w:rsidR="00016B12">
      <w:rPr>
        <w:sz w:val="22"/>
        <w:szCs w:val="22"/>
      </w:rPr>
      <w:t>June</w:t>
    </w:r>
    <w:r w:rsidRPr="00BE2588">
      <w:rPr>
        <w:sz w:val="22"/>
        <w:szCs w:val="22"/>
      </w:rPr>
      <w:t xml:space="preserve"> </w:t>
    </w:r>
    <w:r w:rsidR="00BF622E">
      <w:rPr>
        <w:sz w:val="22"/>
        <w:szCs w:val="22"/>
      </w:rPr>
      <w:t>9</w:t>
    </w:r>
    <w:r w:rsidRPr="00BE2588">
      <w:rPr>
        <w:sz w:val="22"/>
        <w:szCs w:val="22"/>
      </w:rPr>
      <w:t xml:space="preserve">, 2017, </w:t>
    </w:r>
    <w:r w:rsidRPr="00BE2588">
      <w:rPr>
        <w:i/>
        <w:sz w:val="22"/>
        <w:szCs w:val="22"/>
      </w:rPr>
      <w:t xml:space="preserve">page </w:t>
    </w:r>
    <w:r w:rsidRPr="00BE2588">
      <w:rPr>
        <w:bCs/>
        <w:i/>
        <w:sz w:val="22"/>
        <w:szCs w:val="22"/>
      </w:rPr>
      <w:fldChar w:fldCharType="begin"/>
    </w:r>
    <w:r w:rsidRPr="00BE2588">
      <w:rPr>
        <w:bCs/>
        <w:i/>
        <w:sz w:val="22"/>
        <w:szCs w:val="22"/>
      </w:rPr>
      <w:instrText xml:space="preserve"> PAGE  \* Arabic  \* MERGEFORMAT </w:instrText>
    </w:r>
    <w:r w:rsidRPr="00BE2588">
      <w:rPr>
        <w:bCs/>
        <w:i/>
        <w:sz w:val="22"/>
        <w:szCs w:val="22"/>
      </w:rPr>
      <w:fldChar w:fldCharType="separate"/>
    </w:r>
    <w:r w:rsidR="003B3752">
      <w:rPr>
        <w:bCs/>
        <w:i/>
        <w:noProof/>
        <w:sz w:val="22"/>
        <w:szCs w:val="22"/>
      </w:rPr>
      <w:t>3</w:t>
    </w:r>
    <w:r w:rsidRPr="00BE2588">
      <w:rPr>
        <w:bCs/>
        <w:i/>
        <w:sz w:val="22"/>
        <w:szCs w:val="22"/>
      </w:rPr>
      <w:fldChar w:fldCharType="end"/>
    </w:r>
    <w:r w:rsidRPr="00BE2588">
      <w:rPr>
        <w:i/>
        <w:sz w:val="22"/>
        <w:szCs w:val="22"/>
      </w:rPr>
      <w:t xml:space="preserve"> of </w:t>
    </w:r>
    <w:r w:rsidRPr="00BE2588">
      <w:rPr>
        <w:bCs/>
        <w:i/>
        <w:sz w:val="22"/>
        <w:szCs w:val="22"/>
      </w:rPr>
      <w:fldChar w:fldCharType="begin"/>
    </w:r>
    <w:r w:rsidRPr="00BE2588">
      <w:rPr>
        <w:bCs/>
        <w:i/>
        <w:sz w:val="22"/>
        <w:szCs w:val="22"/>
      </w:rPr>
      <w:instrText xml:space="preserve"> NUMPAGES  \* Arabic  \* MERGEFORMAT </w:instrText>
    </w:r>
    <w:r w:rsidRPr="00BE2588">
      <w:rPr>
        <w:bCs/>
        <w:i/>
        <w:sz w:val="22"/>
        <w:szCs w:val="22"/>
      </w:rPr>
      <w:fldChar w:fldCharType="separate"/>
    </w:r>
    <w:r w:rsidR="003B3752">
      <w:rPr>
        <w:bCs/>
        <w:i/>
        <w:noProof/>
        <w:sz w:val="22"/>
        <w:szCs w:val="22"/>
      </w:rPr>
      <w:t>3</w:t>
    </w:r>
    <w:r w:rsidRPr="00BE2588">
      <w:rPr>
        <w:bCs/>
        <w:i/>
        <w:sz w:val="22"/>
        <w:szCs w:val="22"/>
      </w:rPr>
      <w:fldChar w:fldCharType="end"/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D68" w:rsidRDefault="000E4D68" w:rsidP="005878C6">
      <w:r>
        <w:separator/>
      </w:r>
    </w:p>
  </w:footnote>
  <w:footnote w:type="continuationSeparator" w:id="0">
    <w:p w:rsidR="000E4D68" w:rsidRDefault="000E4D68" w:rsidP="00587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B2740"/>
    <w:multiLevelType w:val="hybridMultilevel"/>
    <w:tmpl w:val="FCD06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20"/>
    <w:rsid w:val="00016B12"/>
    <w:rsid w:val="000242BF"/>
    <w:rsid w:val="000E4D68"/>
    <w:rsid w:val="00156B0F"/>
    <w:rsid w:val="001615FB"/>
    <w:rsid w:val="0018003D"/>
    <w:rsid w:val="001F4055"/>
    <w:rsid w:val="00212BF8"/>
    <w:rsid w:val="00284D95"/>
    <w:rsid w:val="003256DD"/>
    <w:rsid w:val="0036322A"/>
    <w:rsid w:val="003B0356"/>
    <w:rsid w:val="003B3752"/>
    <w:rsid w:val="003C2FF8"/>
    <w:rsid w:val="003C5F7F"/>
    <w:rsid w:val="00424B1F"/>
    <w:rsid w:val="004E3EBB"/>
    <w:rsid w:val="00546520"/>
    <w:rsid w:val="005878C6"/>
    <w:rsid w:val="005B72CB"/>
    <w:rsid w:val="005D3DA1"/>
    <w:rsid w:val="00612E83"/>
    <w:rsid w:val="00641795"/>
    <w:rsid w:val="00684193"/>
    <w:rsid w:val="006D7E2C"/>
    <w:rsid w:val="006E77A5"/>
    <w:rsid w:val="007F5B75"/>
    <w:rsid w:val="008201B9"/>
    <w:rsid w:val="00834117"/>
    <w:rsid w:val="0086709B"/>
    <w:rsid w:val="008B0468"/>
    <w:rsid w:val="00905749"/>
    <w:rsid w:val="00946615"/>
    <w:rsid w:val="00966799"/>
    <w:rsid w:val="00A6340A"/>
    <w:rsid w:val="00AA78DD"/>
    <w:rsid w:val="00B23103"/>
    <w:rsid w:val="00B84ED5"/>
    <w:rsid w:val="00BF622E"/>
    <w:rsid w:val="00C9576D"/>
    <w:rsid w:val="00C978A1"/>
    <w:rsid w:val="00CC4503"/>
    <w:rsid w:val="00D502DE"/>
    <w:rsid w:val="00D50EFD"/>
    <w:rsid w:val="00D77C5A"/>
    <w:rsid w:val="00E2316B"/>
    <w:rsid w:val="00E60C06"/>
    <w:rsid w:val="00EC346E"/>
    <w:rsid w:val="00EC661B"/>
    <w:rsid w:val="00ED6425"/>
    <w:rsid w:val="00FE1DDF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080EC"/>
  <w15:chartTrackingRefBased/>
  <w15:docId w15:val="{89DDBB6C-7190-448D-BA80-9C6DA4B9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D3DA1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D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3D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3D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3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3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3DA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DA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DA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DA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3D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D3D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D3DA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D3DA1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D3DA1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D3DA1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5D3DA1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D3DA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D3DA1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D3DA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D3DA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DA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5D3DA1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5D3DA1"/>
    <w:rPr>
      <w:b/>
      <w:bCs/>
    </w:rPr>
  </w:style>
  <w:style w:type="character" w:styleId="Emphasis">
    <w:name w:val="Emphasis"/>
    <w:uiPriority w:val="20"/>
    <w:qFormat/>
    <w:rsid w:val="005D3DA1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5D3DA1"/>
    <w:rPr>
      <w:szCs w:val="32"/>
    </w:rPr>
  </w:style>
  <w:style w:type="character" w:customStyle="1" w:styleId="NoSpacingChar">
    <w:name w:val="No Spacing Char"/>
    <w:link w:val="NoSpacing"/>
    <w:uiPriority w:val="1"/>
    <w:rsid w:val="005D3DA1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5D3D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3DA1"/>
    <w:rPr>
      <w:i/>
    </w:rPr>
  </w:style>
  <w:style w:type="character" w:customStyle="1" w:styleId="QuoteChar">
    <w:name w:val="Quote Char"/>
    <w:link w:val="Quote"/>
    <w:uiPriority w:val="29"/>
    <w:rsid w:val="005D3DA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DA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5D3DA1"/>
    <w:rPr>
      <w:b/>
      <w:i/>
      <w:sz w:val="24"/>
    </w:rPr>
  </w:style>
  <w:style w:type="character" w:styleId="SubtleEmphasis">
    <w:name w:val="Subtle Emphasis"/>
    <w:uiPriority w:val="19"/>
    <w:qFormat/>
    <w:rsid w:val="005D3DA1"/>
    <w:rPr>
      <w:i/>
      <w:color w:val="5A5A5A"/>
    </w:rPr>
  </w:style>
  <w:style w:type="character" w:styleId="IntenseEmphasis">
    <w:name w:val="Intense Emphasis"/>
    <w:uiPriority w:val="21"/>
    <w:qFormat/>
    <w:rsid w:val="005D3DA1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D3DA1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D3DA1"/>
    <w:rPr>
      <w:b/>
      <w:sz w:val="24"/>
      <w:u w:val="single"/>
    </w:rPr>
  </w:style>
  <w:style w:type="character" w:styleId="BookTitle">
    <w:name w:val="Book Title"/>
    <w:uiPriority w:val="33"/>
    <w:qFormat/>
    <w:rsid w:val="005D3DA1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DA1"/>
    <w:pPr>
      <w:outlineLvl w:val="9"/>
    </w:pPr>
  </w:style>
  <w:style w:type="character" w:customStyle="1" w:styleId="style20">
    <w:name w:val="style20"/>
    <w:basedOn w:val="DefaultParagraphFont"/>
    <w:rsid w:val="00546520"/>
  </w:style>
  <w:style w:type="paragraph" w:styleId="BalloonText">
    <w:name w:val="Balloon Text"/>
    <w:basedOn w:val="Normal"/>
    <w:link w:val="BalloonTextChar"/>
    <w:uiPriority w:val="99"/>
    <w:semiHidden/>
    <w:unhideWhenUsed/>
    <w:rsid w:val="008B04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468"/>
    <w:rPr>
      <w:rFonts w:ascii="Segoe U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87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8C6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87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8C6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Wild</dc:creator>
  <cp:keywords/>
  <cp:lastModifiedBy>Peggy Wild</cp:lastModifiedBy>
  <cp:revision>11</cp:revision>
  <cp:lastPrinted>2017-06-12T22:11:00Z</cp:lastPrinted>
  <dcterms:created xsi:type="dcterms:W3CDTF">2017-05-07T00:19:00Z</dcterms:created>
  <dcterms:modified xsi:type="dcterms:W3CDTF">2017-06-12T22:11:00Z</dcterms:modified>
</cp:coreProperties>
</file>