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E0" w:rsidRDefault="00CB72CE" w:rsidP="006438A8">
      <w:pPr>
        <w:rPr>
          <w:sz w:val="20"/>
          <w:szCs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-584200</wp:posOffset>
            </wp:positionV>
            <wp:extent cx="1108710" cy="12338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943"/>
        <w:gridCol w:w="718"/>
        <w:gridCol w:w="5157"/>
      </w:tblGrid>
      <w:tr w:rsidR="003400E0" w:rsidRPr="006670D2" w:rsidTr="00573E47">
        <w:trPr>
          <w:trHeight w:val="20"/>
          <w:tblHeader/>
        </w:trPr>
        <w:tc>
          <w:tcPr>
            <w:tcW w:w="92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6670D2" w:rsidRDefault="003400E0" w:rsidP="006438A8">
            <w:pPr>
              <w:rPr>
                <w:sz w:val="20"/>
                <w:szCs w:val="20"/>
              </w:rPr>
            </w:pPr>
            <w:r w:rsidRPr="006670D2">
              <w:rPr>
                <w:b/>
                <w:sz w:val="27"/>
                <w:szCs w:val="27"/>
              </w:rPr>
              <w:t>National Standards for Family and Consumer Sciences Education</w:t>
            </w:r>
            <w:r w:rsidRPr="006670D2">
              <w:br/>
            </w:r>
            <w:r w:rsidRPr="006670D2">
              <w:rPr>
                <w:sz w:val="20"/>
                <w:szCs w:val="20"/>
              </w:rPr>
              <w:t>Copyright © 2018</w:t>
            </w:r>
            <w:r w:rsidRPr="006670D2">
              <w:rPr>
                <w:sz w:val="20"/>
                <w:szCs w:val="20"/>
              </w:rPr>
              <w:br/>
              <w:t>Developed by National Association of State Administrators of Family and Consumer Sciences (NASAFACS)</w:t>
            </w:r>
          </w:p>
        </w:tc>
      </w:tr>
      <w:tr w:rsidR="00E74563" w:rsidRPr="006670D2" w:rsidTr="00573E47">
        <w:trPr>
          <w:trHeight w:val="20"/>
          <w:tblHeader/>
        </w:trPr>
        <w:tc>
          <w:tcPr>
            <w:tcW w:w="9295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Area of Study 15.0</w:t>
            </w:r>
          </w:p>
        </w:tc>
      </w:tr>
      <w:tr w:rsidR="00E74563" w:rsidRPr="006670D2" w:rsidTr="00573E47">
        <w:trPr>
          <w:trHeight w:val="20"/>
          <w:tblHeader/>
        </w:trPr>
        <w:tc>
          <w:tcPr>
            <w:tcW w:w="9295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Default="00E74563" w:rsidP="006438A8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  <w:r w:rsidRPr="006670D2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Parenting</w:t>
            </w:r>
          </w:p>
          <w:p w:rsidR="00383F8F" w:rsidRPr="006670D2" w:rsidRDefault="00383F8F" w:rsidP="006438A8">
            <w:pPr>
              <w:rPr>
                <w:rFonts w:eastAsia="Times New Roman"/>
                <w:lang w:bidi="ar-SA"/>
              </w:rPr>
            </w:pPr>
          </w:p>
        </w:tc>
      </w:tr>
      <w:tr w:rsidR="00383F8F" w:rsidRPr="006670D2" w:rsidTr="00573E47">
        <w:tc>
          <w:tcPr>
            <w:tcW w:w="9295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668A2" w:rsidRDefault="006668A2" w:rsidP="006668A2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bookmarkStart w:id="1" w:name="_Hlk479078450"/>
            <w:r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Usage Guidelines</w:t>
            </w:r>
          </w:p>
          <w:p w:rsidR="00F431D9" w:rsidRPr="00CF0FF0" w:rsidRDefault="00F431D9" w:rsidP="00F431D9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a sequence of courses in a defined pathway/program of study. </w:t>
            </w:r>
          </w:p>
          <w:p w:rsidR="00F431D9" w:rsidRPr="00CF0FF0" w:rsidRDefault="00F431D9" w:rsidP="00F431D9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state or local curriculum is developed, the national standards should be utilized as indicators of student achievement at the end of the pathway/program of study. Benchmarks should be developed at the state or local level for student achievement in earlier courses. </w:t>
            </w:r>
          </w:p>
          <w:p w:rsidR="00383F8F" w:rsidRDefault="00DF40B8" w:rsidP="00F431D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The standards are grouped by Areas of Study, NOT by courses or course sequences. </w:t>
            </w:r>
            <w:r w:rsidR="00302044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It is expected that content knowledge and skills from multiple Areas of Study </w:t>
            </w:r>
            <w:r w:rsidR="00302044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would be utilized </w:t>
            </w:r>
            <w:r w:rsidR="00302044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when building courses </w:t>
            </w:r>
            <w:r w:rsidR="00302044">
              <w:rPr>
                <w:rFonts w:eastAsia="Times New Roman" w:cs="Arial"/>
                <w:bCs/>
                <w:sz w:val="22"/>
                <w:szCs w:val="22"/>
                <w:lang w:bidi="ar-SA"/>
              </w:rPr>
              <w:t>and course sequences for related Career Pathways</w:t>
            </w:r>
            <w:r w:rsidR="00302044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</w:t>
            </w:r>
            <w:r w:rsidR="00383F8F">
              <w:rPr>
                <w:rFonts w:eastAsia="Times New Roman" w:cs="Arial"/>
                <w:bCs/>
                <w:sz w:val="22"/>
                <w:szCs w:val="22"/>
                <w:lang w:bidi="ar-SA"/>
              </w:rPr>
              <w:t>for state or local uses. For example, standards from Area 1</w:t>
            </w:r>
            <w:r w:rsidR="006438A8">
              <w:rPr>
                <w:rFonts w:eastAsia="Times New Roman" w:cs="Arial"/>
                <w:bCs/>
                <w:sz w:val="22"/>
                <w:szCs w:val="22"/>
                <w:lang w:bidi="ar-SA"/>
              </w:rPr>
              <w:t>5</w:t>
            </w:r>
            <w:r w:rsidR="00383F8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</w:t>
            </w:r>
            <w:r w:rsidR="006438A8">
              <w:rPr>
                <w:rFonts w:eastAsia="Times New Roman" w:cs="Arial"/>
                <w:bCs/>
                <w:sz w:val="22"/>
                <w:szCs w:val="22"/>
                <w:lang w:bidi="ar-SA"/>
              </w:rPr>
              <w:t>Parenting</w:t>
            </w:r>
            <w:r w:rsidR="00383F8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might be incorporated into course sequences for Area 3 Consumer Services, Area 4 Education and Early Childhood, and Area 7 Family and Community Services as well as course sequences for additional pathways.</w:t>
            </w:r>
            <w:bookmarkEnd w:id="1"/>
          </w:p>
          <w:p w:rsidR="00383F8F" w:rsidRPr="006670D2" w:rsidRDefault="00383F8F" w:rsidP="006438A8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</w:p>
        </w:tc>
      </w:tr>
      <w:tr w:rsidR="00E74563" w:rsidRPr="006670D2" w:rsidTr="00573E47">
        <w:tc>
          <w:tcPr>
            <w:tcW w:w="9295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br/>
              <w:t>Evaluate the effects of parenting roles and responsibilities on strengthening the well-being of individuals</w:t>
            </w:r>
            <w:r w:rsidR="00891424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 families</w:t>
            </w:r>
            <w:r w:rsidR="00D54F0C">
              <w:rPr>
                <w:rFonts w:eastAsia="Times New Roman" w:cs="Arial"/>
                <w:sz w:val="22"/>
                <w:szCs w:val="22"/>
                <w:lang w:bidi="ar-SA"/>
              </w:rPr>
              <w:t>, and society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E74563" w:rsidRPr="006670D2" w:rsidTr="00573E47">
        <w:tc>
          <w:tcPr>
            <w:tcW w:w="9295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E74563" w:rsidRPr="006670D2" w:rsidTr="00573E47">
        <w:tc>
          <w:tcPr>
            <w:tcW w:w="342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5875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E74563" w:rsidRPr="006670D2" w:rsidTr="00573E47">
        <w:tc>
          <w:tcPr>
            <w:tcW w:w="477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15.1</w:t>
            </w:r>
          </w:p>
        </w:tc>
        <w:tc>
          <w:tcPr>
            <w:tcW w:w="2943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Analyze roles and responsibilities of parenting.</w:t>
            </w: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15.1.1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Analyze parenting roles across the life span.</w:t>
            </w:r>
          </w:p>
        </w:tc>
      </w:tr>
      <w:tr w:rsidR="00E74563" w:rsidRPr="006670D2" w:rsidTr="00573E47"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15.1.2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Analyze expectations and responsibilities of parenting.</w:t>
            </w:r>
          </w:p>
        </w:tc>
      </w:tr>
      <w:tr w:rsidR="00E74563" w:rsidRPr="006670D2" w:rsidTr="00573E47"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15.1.3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Analyze </w:t>
            </w:r>
            <w:r w:rsidR="00891424">
              <w:rPr>
                <w:rFonts w:eastAsia="Times New Roman" w:cs="Arial"/>
                <w:sz w:val="22"/>
                <w:szCs w:val="22"/>
                <w:lang w:bidi="ar-SA"/>
              </w:rPr>
              <w:t>influences</w:t>
            </w:r>
            <w:r w:rsidR="00891424"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of parenting practices </w:t>
            </w:r>
            <w:r w:rsidR="00891424">
              <w:rPr>
                <w:rFonts w:eastAsia="Times New Roman" w:cs="Arial"/>
                <w:sz w:val="22"/>
                <w:szCs w:val="22"/>
                <w:lang w:bidi="ar-SA"/>
              </w:rPr>
              <w:t>on</w:t>
            </w:r>
            <w:r w:rsidR="00891424"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individual</w:t>
            </w:r>
            <w:r w:rsidR="00DE70CB">
              <w:rPr>
                <w:rFonts w:eastAsia="Times New Roman" w:cs="Arial"/>
                <w:sz w:val="22"/>
                <w:szCs w:val="22"/>
                <w:lang w:bidi="ar-SA"/>
              </w:rPr>
              <w:t>s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, famil</w:t>
            </w:r>
            <w:r w:rsidR="00DE70CB">
              <w:rPr>
                <w:rFonts w:eastAsia="Times New Roman" w:cs="Arial"/>
                <w:sz w:val="22"/>
                <w:szCs w:val="22"/>
                <w:lang w:bidi="ar-SA"/>
              </w:rPr>
              <w:t>ies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, and society.</w:t>
            </w:r>
          </w:p>
        </w:tc>
      </w:tr>
      <w:tr w:rsidR="00E74563" w:rsidRPr="006670D2" w:rsidTr="00573E47"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15.1.4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Analyze societal conditions that influence parenting across the life span.</w:t>
            </w:r>
          </w:p>
        </w:tc>
      </w:tr>
      <w:tr w:rsidR="00E74563" w:rsidRPr="006670D2" w:rsidTr="00573E47"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15.1.5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Explain cultural differences </w:t>
            </w:r>
            <w:r w:rsidR="000B1FF7">
              <w:rPr>
                <w:rFonts w:eastAsia="Times New Roman" w:cs="Arial"/>
                <w:sz w:val="22"/>
                <w:szCs w:val="22"/>
                <w:lang w:bidi="ar-SA"/>
              </w:rPr>
              <w:t xml:space="preserve">and similarities 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in roles and responsibilities of parenting.</w:t>
            </w:r>
          </w:p>
        </w:tc>
      </w:tr>
      <w:tr w:rsidR="00E74563" w:rsidRPr="006670D2" w:rsidTr="00573E47">
        <w:tc>
          <w:tcPr>
            <w:tcW w:w="47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E74563" w:rsidRPr="006670D2" w:rsidTr="00573E47">
        <w:tc>
          <w:tcPr>
            <w:tcW w:w="477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15.2</w:t>
            </w:r>
          </w:p>
        </w:tc>
        <w:tc>
          <w:tcPr>
            <w:tcW w:w="2943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Evaluate parenting practices that maximize human growth and development.</w:t>
            </w:r>
          </w:p>
        </w:tc>
        <w:tc>
          <w:tcPr>
            <w:tcW w:w="718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15.2.1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F071F6" w:rsidP="006438A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Analyze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E74563" w:rsidRPr="006670D2">
              <w:rPr>
                <w:rFonts w:eastAsia="Times New Roman" w:cs="Arial"/>
                <w:sz w:val="22"/>
                <w:szCs w:val="22"/>
                <w:lang w:bidi="ar-SA"/>
              </w:rPr>
              <w:t>nurturing practices that support human growth and development.</w:t>
            </w:r>
          </w:p>
        </w:tc>
      </w:tr>
      <w:tr w:rsidR="00E74563" w:rsidRPr="006670D2" w:rsidTr="00573E47"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15.2.2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Apply communication strategies that promote </w:t>
            </w:r>
            <w:r w:rsidR="005F53D1">
              <w:rPr>
                <w:rFonts w:eastAsia="Times New Roman" w:cs="Arial"/>
                <w:sz w:val="22"/>
                <w:szCs w:val="22"/>
                <w:lang w:bidi="ar-SA"/>
              </w:rPr>
              <w:t>emotional well-being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 in family members.</w:t>
            </w:r>
          </w:p>
        </w:tc>
      </w:tr>
      <w:tr w:rsidR="00E74563" w:rsidRPr="006670D2" w:rsidTr="00573E47"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15.2.3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Assess common practices and emerging research about </w:t>
            </w:r>
            <w:r w:rsidR="001E4237">
              <w:rPr>
                <w:rFonts w:eastAsia="Times New Roman" w:cs="Arial"/>
                <w:sz w:val="22"/>
                <w:szCs w:val="22"/>
                <w:lang w:bidi="ar-SA"/>
              </w:rPr>
              <w:t xml:space="preserve">influences of 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discipline on human growth and development.</w:t>
            </w:r>
          </w:p>
        </w:tc>
      </w:tr>
      <w:tr w:rsidR="00E74563" w:rsidRPr="006670D2" w:rsidTr="00573E47"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15.2.4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2B034E" w:rsidP="006438A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Analyze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E74563" w:rsidRPr="006670D2">
              <w:rPr>
                <w:rFonts w:eastAsia="Times New Roman" w:cs="Arial"/>
                <w:sz w:val="22"/>
                <w:szCs w:val="22"/>
                <w:lang w:bidi="ar-SA"/>
              </w:rPr>
              <w:t>the effects of abuse and neglect on children and families and determine methods for prevention.</w:t>
            </w:r>
          </w:p>
        </w:tc>
      </w:tr>
      <w:tr w:rsidR="00E74563" w:rsidRPr="006670D2" w:rsidTr="00573E47"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15.2.5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Apply criteria for selecting care and services for children</w:t>
            </w:r>
            <w:r w:rsidR="002B034E">
              <w:rPr>
                <w:rFonts w:eastAsia="Times New Roman" w:cs="Arial"/>
                <w:sz w:val="22"/>
                <w:szCs w:val="22"/>
                <w:lang w:bidi="ar-SA"/>
              </w:rPr>
              <w:t xml:space="preserve"> and youth.</w:t>
            </w:r>
          </w:p>
        </w:tc>
      </w:tr>
      <w:tr w:rsidR="00E74563" w:rsidRPr="006670D2" w:rsidTr="00573E47">
        <w:tc>
          <w:tcPr>
            <w:tcW w:w="47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D5099" w:rsidRPr="006670D2" w:rsidRDefault="00AD5099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7454C5" w:rsidRPr="006670D2" w:rsidTr="00573E47">
        <w:tc>
          <w:tcPr>
            <w:tcW w:w="477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454C5" w:rsidRPr="006670D2" w:rsidRDefault="007454C5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lastRenderedPageBreak/>
              <w:t>15.3</w:t>
            </w:r>
          </w:p>
        </w:tc>
        <w:tc>
          <w:tcPr>
            <w:tcW w:w="2943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454C5" w:rsidRPr="006670D2" w:rsidRDefault="007454C5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Evaluate external support systems that provide services for parents.</w:t>
            </w: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454C5" w:rsidRPr="006670D2" w:rsidRDefault="007454C5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15.3.1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454C5" w:rsidRPr="006670D2" w:rsidRDefault="00852DD6" w:rsidP="006438A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Analyze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7454C5" w:rsidRPr="006670D2">
              <w:rPr>
                <w:rFonts w:eastAsia="Times New Roman" w:cs="Arial"/>
                <w:sz w:val="22"/>
                <w:szCs w:val="22"/>
                <w:lang w:bidi="ar-SA"/>
              </w:rPr>
              <w:t>community resources and services available to families.</w:t>
            </w:r>
          </w:p>
        </w:tc>
      </w:tr>
      <w:tr w:rsidR="007454C5" w:rsidRPr="006670D2" w:rsidTr="00573E47">
        <w:tc>
          <w:tcPr>
            <w:tcW w:w="0" w:type="auto"/>
            <w:vMerge/>
            <w:vAlign w:val="center"/>
            <w:hideMark/>
          </w:tcPr>
          <w:p w:rsidR="007454C5" w:rsidRPr="006670D2" w:rsidRDefault="007454C5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4C5" w:rsidRPr="006670D2" w:rsidRDefault="007454C5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454C5" w:rsidRPr="006670D2" w:rsidRDefault="007454C5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15.3.2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454C5" w:rsidRPr="006670D2" w:rsidRDefault="00852DD6" w:rsidP="006438A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Analyze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7454C5" w:rsidRPr="006670D2">
              <w:rPr>
                <w:rFonts w:eastAsia="Times New Roman" w:cs="Arial"/>
                <w:sz w:val="22"/>
                <w:szCs w:val="22"/>
                <w:lang w:bidi="ar-SA"/>
              </w:rPr>
              <w:t>community resources that provide opportunities related to parenting.</w:t>
            </w:r>
          </w:p>
        </w:tc>
      </w:tr>
      <w:tr w:rsidR="007454C5" w:rsidRPr="006670D2" w:rsidTr="00573E47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7454C5" w:rsidRPr="006670D2" w:rsidRDefault="007454C5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54C5" w:rsidRPr="006670D2" w:rsidRDefault="007454C5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454C5" w:rsidRPr="006670D2" w:rsidRDefault="007454C5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15.3.3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454C5" w:rsidRPr="006670D2" w:rsidRDefault="00C953A7" w:rsidP="006438A8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Analyze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7454C5" w:rsidRPr="006670D2">
              <w:rPr>
                <w:rFonts w:eastAsia="Times New Roman" w:cs="Arial"/>
                <w:sz w:val="22"/>
                <w:szCs w:val="22"/>
                <w:lang w:bidi="ar-SA"/>
              </w:rPr>
              <w:t>current laws and policies related to parenting.</w:t>
            </w:r>
          </w:p>
        </w:tc>
      </w:tr>
      <w:tr w:rsidR="007454C5" w:rsidRPr="006670D2" w:rsidTr="00573E47">
        <w:trPr>
          <w:trHeight w:val="132"/>
        </w:trPr>
        <w:tc>
          <w:tcPr>
            <w:tcW w:w="0" w:type="auto"/>
            <w:vMerge/>
            <w:vAlign w:val="center"/>
          </w:tcPr>
          <w:p w:rsidR="007454C5" w:rsidRPr="006670D2" w:rsidRDefault="007454C5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7454C5" w:rsidRPr="006670D2" w:rsidRDefault="007454C5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454C5" w:rsidRPr="006670D2" w:rsidRDefault="00851A14" w:rsidP="006438A8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15.3.4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454C5" w:rsidRPr="006670D2" w:rsidRDefault="00E57F0C" w:rsidP="006438A8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Analyze impacts of advocacy on laws and policies related to parenting. </w:t>
            </w:r>
          </w:p>
        </w:tc>
      </w:tr>
      <w:tr w:rsidR="00E74563" w:rsidRPr="006670D2" w:rsidTr="00573E47">
        <w:tc>
          <w:tcPr>
            <w:tcW w:w="47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C41025" w:rsidRPr="006670D2" w:rsidTr="00573E47">
        <w:tc>
          <w:tcPr>
            <w:tcW w:w="477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1025" w:rsidRPr="006670D2" w:rsidRDefault="00C41025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15.4</w:t>
            </w:r>
          </w:p>
        </w:tc>
        <w:tc>
          <w:tcPr>
            <w:tcW w:w="2943" w:type="dxa"/>
            <w:vMerge w:val="restart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1025" w:rsidRPr="006670D2" w:rsidRDefault="00C41025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Analyze physical and emotional factors related to beginning the parenting process.</w:t>
            </w: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1025" w:rsidRPr="006670D2" w:rsidRDefault="00C41025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15.4.1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1025" w:rsidRPr="006670D2" w:rsidRDefault="00C41025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Analyze biological processes related to prenatal development, birth, and health of child and mother.</w:t>
            </w:r>
          </w:p>
        </w:tc>
      </w:tr>
      <w:tr w:rsidR="00C41025" w:rsidRPr="006670D2" w:rsidTr="00573E47">
        <w:tc>
          <w:tcPr>
            <w:tcW w:w="477" w:type="dxa"/>
            <w:vMerge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1025" w:rsidRPr="006670D2" w:rsidRDefault="00C41025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2943" w:type="dxa"/>
            <w:vMerge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1025" w:rsidRPr="006670D2" w:rsidRDefault="00C41025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1025" w:rsidRPr="006670D2" w:rsidRDefault="00C41025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15.4.2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1025" w:rsidRPr="006670D2" w:rsidRDefault="00C41025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Analyze </w:t>
            </w:r>
            <w:r w:rsidR="00590A10">
              <w:rPr>
                <w:rFonts w:eastAsia="Times New Roman" w:cs="Arial"/>
                <w:sz w:val="22"/>
                <w:szCs w:val="22"/>
                <w:lang w:bidi="ar-SA"/>
              </w:rPr>
              <w:t>social,</w:t>
            </w:r>
            <w:r w:rsidR="00590A10"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emotional</w:t>
            </w:r>
            <w:r w:rsidR="00590A10">
              <w:rPr>
                <w:rFonts w:eastAsia="Times New Roman" w:cs="Arial"/>
                <w:sz w:val="22"/>
                <w:szCs w:val="22"/>
                <w:lang w:bidi="ar-SA"/>
              </w:rPr>
              <w:t>, and environmental</w:t>
            </w: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 xml:space="preserve"> factors of prenatal development and birth in relation to the health of parents and child.</w:t>
            </w:r>
          </w:p>
        </w:tc>
      </w:tr>
      <w:tr w:rsidR="00C41025" w:rsidRPr="006670D2" w:rsidTr="00573E47">
        <w:tc>
          <w:tcPr>
            <w:tcW w:w="477" w:type="dxa"/>
            <w:vMerge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1025" w:rsidRPr="006670D2" w:rsidRDefault="00C41025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2943" w:type="dxa"/>
            <w:vMerge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1025" w:rsidRPr="006670D2" w:rsidRDefault="00C41025" w:rsidP="006438A8">
            <w:pPr>
              <w:rPr>
                <w:rFonts w:eastAsia="Times New Roman"/>
                <w:lang w:bidi="ar-SA"/>
              </w:rPr>
            </w:pP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1025" w:rsidRPr="006670D2" w:rsidRDefault="00C41025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15.4.3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1025" w:rsidRPr="006670D2" w:rsidRDefault="00C41025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Analyze alternatives to biological parenthood.</w:t>
            </w:r>
          </w:p>
        </w:tc>
      </w:tr>
      <w:tr w:rsidR="00E74563" w:rsidRPr="006670D2" w:rsidTr="00573E47">
        <w:tc>
          <w:tcPr>
            <w:tcW w:w="47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9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8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15.4.4</w:t>
            </w:r>
          </w:p>
        </w:tc>
        <w:tc>
          <w:tcPr>
            <w:tcW w:w="5157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74563" w:rsidRPr="006670D2" w:rsidRDefault="00E74563" w:rsidP="006438A8">
            <w:pPr>
              <w:rPr>
                <w:rFonts w:eastAsia="Times New Roman"/>
                <w:lang w:bidi="ar-SA"/>
              </w:rPr>
            </w:pPr>
            <w:r w:rsidRPr="006670D2">
              <w:rPr>
                <w:rFonts w:eastAsia="Times New Roman" w:cs="Arial"/>
                <w:sz w:val="22"/>
                <w:szCs w:val="22"/>
                <w:lang w:bidi="ar-SA"/>
              </w:rPr>
              <w:t>Analyze legal and ethical impacts of current and emerging technology on fertility and family planning.</w:t>
            </w:r>
          </w:p>
        </w:tc>
      </w:tr>
    </w:tbl>
    <w:p w:rsidR="003400E0" w:rsidRDefault="003400E0" w:rsidP="006438A8"/>
    <w:sectPr w:rsidR="003400E0" w:rsidSect="004E3E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B9" w:rsidRDefault="004E2CB9" w:rsidP="00302044">
      <w:r>
        <w:separator/>
      </w:r>
    </w:p>
  </w:endnote>
  <w:endnote w:type="continuationSeparator" w:id="0">
    <w:p w:rsidR="004E2CB9" w:rsidRDefault="004E2CB9" w:rsidP="0030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A2" w:rsidRDefault="006668A2" w:rsidP="00302044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bookmarkStart w:id="2" w:name="_Hlk481867084"/>
    <w:bookmarkStart w:id="3" w:name="_Hlk481867085"/>
    <w:r>
      <w:rPr>
        <w:sz w:val="22"/>
        <w:szCs w:val="22"/>
      </w:rPr>
      <w:t>FCS National Standards (NASAFACS 2018)</w:t>
    </w:r>
  </w:p>
  <w:p w:rsidR="00302044" w:rsidRPr="00302044" w:rsidRDefault="00302044" w:rsidP="00302044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BE2588">
      <w:rPr>
        <w:sz w:val="22"/>
        <w:szCs w:val="22"/>
      </w:rPr>
      <w:t xml:space="preserve">Area of Study </w:t>
    </w:r>
    <w:r>
      <w:rPr>
        <w:sz w:val="22"/>
        <w:szCs w:val="22"/>
      </w:rPr>
      <w:t>15 Parenting</w:t>
    </w:r>
    <w:r w:rsidRPr="00BE2588">
      <w:rPr>
        <w:sz w:val="22"/>
        <w:szCs w:val="22"/>
      </w:rPr>
      <w:t xml:space="preserve">, </w:t>
    </w:r>
    <w:r w:rsidR="002C00F6">
      <w:rPr>
        <w:sz w:val="22"/>
        <w:szCs w:val="22"/>
      </w:rPr>
      <w:t>June</w:t>
    </w:r>
    <w:r w:rsidRPr="00BE2588">
      <w:rPr>
        <w:sz w:val="22"/>
        <w:szCs w:val="22"/>
      </w:rPr>
      <w:t xml:space="preserve"> </w:t>
    </w:r>
    <w:r w:rsidR="006668A2">
      <w:rPr>
        <w:sz w:val="22"/>
        <w:szCs w:val="22"/>
      </w:rPr>
      <w:t>9</w:t>
    </w:r>
    <w:r w:rsidRPr="00BE2588">
      <w:rPr>
        <w:sz w:val="22"/>
        <w:szCs w:val="22"/>
      </w:rPr>
      <w:t xml:space="preserve">,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9908CC">
      <w:rPr>
        <w:bCs/>
        <w:i/>
        <w:noProof/>
        <w:sz w:val="22"/>
        <w:szCs w:val="22"/>
      </w:rPr>
      <w:t>2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9908CC">
      <w:rPr>
        <w:bCs/>
        <w:i/>
        <w:noProof/>
        <w:sz w:val="22"/>
        <w:szCs w:val="22"/>
      </w:rPr>
      <w:t>2</w:t>
    </w:r>
    <w:r w:rsidRPr="00BE2588">
      <w:rPr>
        <w:bCs/>
        <w:i/>
        <w:sz w:val="22"/>
        <w:szCs w:val="22"/>
      </w:rPr>
      <w:fldChar w:fldCharType="end"/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B9" w:rsidRDefault="004E2CB9" w:rsidP="00302044">
      <w:r>
        <w:separator/>
      </w:r>
    </w:p>
  </w:footnote>
  <w:footnote w:type="continuationSeparator" w:id="0">
    <w:p w:rsidR="004E2CB9" w:rsidRDefault="004E2CB9" w:rsidP="00302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2740"/>
    <w:multiLevelType w:val="hybridMultilevel"/>
    <w:tmpl w:val="FCD0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B2047"/>
    <w:multiLevelType w:val="hybridMultilevel"/>
    <w:tmpl w:val="F4982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E0"/>
    <w:rsid w:val="00001CBB"/>
    <w:rsid w:val="00050AB5"/>
    <w:rsid w:val="000659C9"/>
    <w:rsid w:val="000772AA"/>
    <w:rsid w:val="000B1FF7"/>
    <w:rsid w:val="000F79FD"/>
    <w:rsid w:val="00102166"/>
    <w:rsid w:val="001E4237"/>
    <w:rsid w:val="002B034E"/>
    <w:rsid w:val="002C00F6"/>
    <w:rsid w:val="002D0821"/>
    <w:rsid w:val="00302044"/>
    <w:rsid w:val="003400E0"/>
    <w:rsid w:val="00345012"/>
    <w:rsid w:val="00382387"/>
    <w:rsid w:val="00383F8F"/>
    <w:rsid w:val="003B2F2C"/>
    <w:rsid w:val="00467450"/>
    <w:rsid w:val="004D4E16"/>
    <w:rsid w:val="004E2CB9"/>
    <w:rsid w:val="004E3EBB"/>
    <w:rsid w:val="004F2818"/>
    <w:rsid w:val="00573E47"/>
    <w:rsid w:val="00587DEA"/>
    <w:rsid w:val="00590A10"/>
    <w:rsid w:val="005D3DA1"/>
    <w:rsid w:val="005E6292"/>
    <w:rsid w:val="005F28EF"/>
    <w:rsid w:val="005F53D1"/>
    <w:rsid w:val="006438A8"/>
    <w:rsid w:val="006668A2"/>
    <w:rsid w:val="006670D2"/>
    <w:rsid w:val="00670BF5"/>
    <w:rsid w:val="00683673"/>
    <w:rsid w:val="006C3AFE"/>
    <w:rsid w:val="007454C5"/>
    <w:rsid w:val="007E543F"/>
    <w:rsid w:val="00841108"/>
    <w:rsid w:val="00851A14"/>
    <w:rsid w:val="00852DD6"/>
    <w:rsid w:val="00891424"/>
    <w:rsid w:val="00893067"/>
    <w:rsid w:val="008D3B66"/>
    <w:rsid w:val="008E7EA2"/>
    <w:rsid w:val="008F7F9F"/>
    <w:rsid w:val="00914447"/>
    <w:rsid w:val="0095536D"/>
    <w:rsid w:val="0098539C"/>
    <w:rsid w:val="00987BD1"/>
    <w:rsid w:val="009908CC"/>
    <w:rsid w:val="00A740FA"/>
    <w:rsid w:val="00AD5099"/>
    <w:rsid w:val="00AE11E8"/>
    <w:rsid w:val="00B03885"/>
    <w:rsid w:val="00B03CEB"/>
    <w:rsid w:val="00BB10C0"/>
    <w:rsid w:val="00C41025"/>
    <w:rsid w:val="00C953A7"/>
    <w:rsid w:val="00CB72CE"/>
    <w:rsid w:val="00D14502"/>
    <w:rsid w:val="00D52A5C"/>
    <w:rsid w:val="00D54F0C"/>
    <w:rsid w:val="00D652A5"/>
    <w:rsid w:val="00DE70CB"/>
    <w:rsid w:val="00DF40B8"/>
    <w:rsid w:val="00E2316B"/>
    <w:rsid w:val="00E57F0C"/>
    <w:rsid w:val="00E74563"/>
    <w:rsid w:val="00E7600D"/>
    <w:rsid w:val="00EF70F0"/>
    <w:rsid w:val="00F071F6"/>
    <w:rsid w:val="00F30CE7"/>
    <w:rsid w:val="00F431D9"/>
    <w:rsid w:val="00F82D2B"/>
    <w:rsid w:val="00F9286F"/>
    <w:rsid w:val="00FB4B0C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3C875-2F28-4C91-8DD6-5B26C18B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character" w:customStyle="1" w:styleId="style23">
    <w:name w:val="style23"/>
    <w:basedOn w:val="DefaultParagraphFont"/>
    <w:rsid w:val="003400E0"/>
  </w:style>
  <w:style w:type="character" w:customStyle="1" w:styleId="apple-converted-space">
    <w:name w:val="apple-converted-space"/>
    <w:basedOn w:val="DefaultParagraphFont"/>
    <w:rsid w:val="008F7F9F"/>
  </w:style>
  <w:style w:type="character" w:customStyle="1" w:styleId="style1">
    <w:name w:val="style1"/>
    <w:basedOn w:val="DefaultParagraphFont"/>
    <w:rsid w:val="008F7F9F"/>
  </w:style>
  <w:style w:type="character" w:customStyle="1" w:styleId="style2">
    <w:name w:val="style2"/>
    <w:basedOn w:val="DefaultParagraphFont"/>
    <w:rsid w:val="0095536D"/>
  </w:style>
  <w:style w:type="paragraph" w:customStyle="1" w:styleId="style11">
    <w:name w:val="style11"/>
    <w:basedOn w:val="Normal"/>
    <w:rsid w:val="0095536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1424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02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04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2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044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2917</Characters>
  <Application>Microsoft Office Word</Application>
  <DocSecurity>0</DocSecurity>
  <Lines>153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McIntyre-Reiger, Alyson</cp:lastModifiedBy>
  <cp:revision>5</cp:revision>
  <cp:lastPrinted>2017-08-17T19:09:00Z</cp:lastPrinted>
  <dcterms:created xsi:type="dcterms:W3CDTF">2017-07-08T20:28:00Z</dcterms:created>
  <dcterms:modified xsi:type="dcterms:W3CDTF">2017-08-17T19:09:00Z</dcterms:modified>
</cp:coreProperties>
</file>