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E0" w:rsidRDefault="00A80F22" w:rsidP="004958EF">
      <w:pPr>
        <w:rPr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-609600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938"/>
        <w:gridCol w:w="720"/>
        <w:gridCol w:w="5117"/>
        <w:gridCol w:w="43"/>
      </w:tblGrid>
      <w:tr w:rsidR="003400E0" w:rsidRPr="007C0F2A" w:rsidTr="00A80F22">
        <w:trPr>
          <w:gridAfter w:val="1"/>
          <w:wAfter w:w="43" w:type="dxa"/>
          <w:tblHeader/>
        </w:trPr>
        <w:tc>
          <w:tcPr>
            <w:tcW w:w="92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7C0F2A" w:rsidRDefault="003400E0" w:rsidP="004958EF">
            <w:pPr>
              <w:rPr>
                <w:sz w:val="20"/>
                <w:szCs w:val="20"/>
              </w:rPr>
            </w:pPr>
            <w:r w:rsidRPr="007C0F2A">
              <w:rPr>
                <w:b/>
                <w:sz w:val="27"/>
                <w:szCs w:val="27"/>
              </w:rPr>
              <w:t>National Standards for Family and Consumer Sciences Education</w:t>
            </w:r>
            <w:r w:rsidRPr="007C0F2A">
              <w:br/>
            </w:r>
            <w:r w:rsidRPr="007C0F2A">
              <w:rPr>
                <w:sz w:val="20"/>
                <w:szCs w:val="20"/>
              </w:rPr>
              <w:t>Copyright © 2018</w:t>
            </w:r>
            <w:r w:rsidRPr="007C0F2A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0F79FD" w:rsidRPr="007C0F2A" w:rsidTr="00A80F22">
        <w:trPr>
          <w:tblHeader/>
        </w:trPr>
        <w:tc>
          <w:tcPr>
            <w:tcW w:w="9295" w:type="dxa"/>
            <w:gridSpan w:val="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14.0</w:t>
            </w:r>
          </w:p>
        </w:tc>
      </w:tr>
      <w:tr w:rsidR="000F79FD" w:rsidRPr="007C0F2A" w:rsidTr="00A80F22">
        <w:trPr>
          <w:tblHeader/>
        </w:trPr>
        <w:tc>
          <w:tcPr>
            <w:tcW w:w="9295" w:type="dxa"/>
            <w:gridSpan w:val="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Default="000F79FD" w:rsidP="004958EF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7C0F2A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Nutrition and Wellness</w:t>
            </w:r>
          </w:p>
          <w:p w:rsidR="004958EF" w:rsidRPr="007C0F2A" w:rsidRDefault="004958EF" w:rsidP="004958EF">
            <w:pPr>
              <w:rPr>
                <w:rFonts w:eastAsia="Times New Roman"/>
                <w:lang w:bidi="ar-SA"/>
              </w:rPr>
            </w:pPr>
          </w:p>
        </w:tc>
      </w:tr>
      <w:tr w:rsidR="004958EF" w:rsidRPr="007C0F2A" w:rsidTr="00A80F22">
        <w:tc>
          <w:tcPr>
            <w:tcW w:w="9295" w:type="dxa"/>
            <w:gridSpan w:val="5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F542E" w:rsidRDefault="00CF542E" w:rsidP="00CF542E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1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624214" w:rsidRPr="00CF0FF0" w:rsidRDefault="00624214" w:rsidP="00624214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624214" w:rsidRPr="00CF0FF0" w:rsidRDefault="00624214" w:rsidP="00624214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4958EF" w:rsidRPr="00CD79B5" w:rsidRDefault="004958EF" w:rsidP="00624214">
            <w:pPr>
              <w:pStyle w:val="ListParagraph"/>
              <w:numPr>
                <w:ilvl w:val="0"/>
                <w:numId w:val="1"/>
              </w:numPr>
            </w:pP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>The standards are grouped by Areas of Study, NOT by courses</w:t>
            </w:r>
            <w:r w:rsidR="005713CE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5713C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5713CE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5713C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5713CE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5713C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4 Nutrition and Wellness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might be incorporated into course sequences for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Area 4 Education and Early Childhood, Area 7 Family and Community Services, Area 8 Food Production and Services, and Area 9 Food Science, Dietetics and Nutrition as well as course sequences for additional p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>athways.</w:t>
            </w:r>
            <w:bookmarkEnd w:id="1"/>
          </w:p>
          <w:p w:rsidR="004958EF" w:rsidRPr="007C0F2A" w:rsidRDefault="004958EF" w:rsidP="004958EF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0F79FD" w:rsidRPr="007C0F2A" w:rsidTr="00A80F22">
        <w:tc>
          <w:tcPr>
            <w:tcW w:w="9295" w:type="dxa"/>
            <w:gridSpan w:val="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br/>
              <w:t>Demonstrate nutrition and wellness practices that enhance individual and family well-being.</w:t>
            </w:r>
          </w:p>
        </w:tc>
      </w:tr>
      <w:tr w:rsidR="000F79FD" w:rsidRPr="007C0F2A" w:rsidTr="00A80F22">
        <w:tc>
          <w:tcPr>
            <w:tcW w:w="9295" w:type="dxa"/>
            <w:gridSpan w:val="5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0F79FD" w:rsidRPr="007C0F2A" w:rsidTr="00A80F22">
        <w:tc>
          <w:tcPr>
            <w:tcW w:w="3415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880" w:type="dxa"/>
            <w:gridSpan w:val="3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0F79FD" w:rsidRPr="007C0F2A" w:rsidTr="00A80F22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14.1</w:t>
            </w:r>
          </w:p>
        </w:tc>
        <w:tc>
          <w:tcPr>
            <w:tcW w:w="2938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factors that influence nutrition and wellness practices across the life span.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14.1.1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Explain physical, emotional, social, psychological,</w:t>
            </w:r>
            <w:r w:rsidR="005C5FF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BB626F">
              <w:rPr>
                <w:rFonts w:eastAsia="Times New Roman" w:cs="Arial"/>
                <w:sz w:val="22"/>
                <w:szCs w:val="22"/>
                <w:lang w:bidi="ar-SA"/>
              </w:rPr>
              <w:t xml:space="preserve">cultural, 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and spiritual components of individual and family wellness.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14.1.2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5C5FF2" w:rsidP="004958E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Investigate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the effects of psychological, cultural, and social influences on food choices and other nutrition practices.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14.1.3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5C5FF2" w:rsidP="004958E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Investigate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the governmental, economic, and technological influences on food choices and practices.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14.1.4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the effects of global</w:t>
            </w:r>
            <w:r w:rsidR="00251709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251709">
              <w:rPr>
                <w:rFonts w:eastAsia="Times New Roman" w:cs="Arial"/>
                <w:sz w:val="22"/>
                <w:szCs w:val="22"/>
                <w:lang w:bidi="ar-SA"/>
              </w:rPr>
              <w:t xml:space="preserve">regional, 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and local events and conditions on food choices and practices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14.1.5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legislation and regulations related to nutrition and wellness.</w:t>
            </w:r>
            <w:r w:rsidR="005C5FF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0F79FD" w:rsidRPr="007C0F2A" w:rsidTr="00A80F22">
        <w:tc>
          <w:tcPr>
            <w:tcW w:w="47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0F79FD" w:rsidRPr="007C0F2A" w:rsidTr="00A80F22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14.2</w:t>
            </w:r>
          </w:p>
        </w:tc>
        <w:tc>
          <w:tcPr>
            <w:tcW w:w="2938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E</w:t>
            </w:r>
            <w:r w:rsidR="00BB626F">
              <w:rPr>
                <w:rFonts w:eastAsia="Times New Roman" w:cs="Arial"/>
                <w:sz w:val="22"/>
                <w:szCs w:val="22"/>
                <w:lang w:bidi="ar-SA"/>
              </w:rPr>
              <w:t>xamine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the nutritional needs of individuals and families in relation to health and wellness across the life span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14.2.1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5C5FF2" w:rsidP="004958E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Evaluate 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the effect of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nutrition 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on </w:t>
            </w:r>
            <w:r w:rsidR="004958EF"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health, </w:t>
            </w:r>
            <w:r w:rsidR="004958EF">
              <w:rPr>
                <w:rFonts w:eastAsia="Times New Roman" w:cs="Arial"/>
                <w:sz w:val="22"/>
                <w:szCs w:val="22"/>
                <w:lang w:bidi="ar-SA"/>
              </w:rPr>
              <w:t>wellness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>performance.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14.2.2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the relationship of nutrition and wellness to individual and family health throughout the life span.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14.2.3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the effects of food and diet fads, food addictions, and eating disorders on wellness.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14.2.4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sources of food and nutrition information, including food labels, related to health and wellness.</w:t>
            </w:r>
          </w:p>
        </w:tc>
      </w:tr>
      <w:tr w:rsidR="005713CE" w:rsidRPr="007C0F2A" w:rsidTr="00A80F22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14.3</w:t>
            </w:r>
          </w:p>
        </w:tc>
        <w:tc>
          <w:tcPr>
            <w:tcW w:w="2938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/>
                <w:sz w:val="22"/>
                <w:szCs w:val="22"/>
                <w:lang w:bidi="ar-SA"/>
              </w:rPr>
              <w:t xml:space="preserve">Demonstrate ability to acquire, handle, and use foods to meet nutrition and wellness needs of individuals and families across the life span. 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14.3.1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Apply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current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dietary guidelines in planning to meet nutrition and wellness needs.</w:t>
            </w:r>
          </w:p>
        </w:tc>
      </w:tr>
      <w:tr w:rsidR="005713CE" w:rsidRPr="007C0F2A" w:rsidTr="00A80F22">
        <w:tc>
          <w:tcPr>
            <w:tcW w:w="0" w:type="auto"/>
            <w:vMerge/>
            <w:vAlign w:val="center"/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14.3.2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Design strategies that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address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the health and nutrition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al recommendations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1A1754">
              <w:rPr>
                <w:rFonts w:eastAsia="Times New Roman" w:cs="Arial"/>
                <w:sz w:val="22"/>
                <w:szCs w:val="22"/>
                <w:lang w:bidi="ar-SA"/>
              </w:rPr>
              <w:t>for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individuals and families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 including those with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special needs.</w:t>
            </w:r>
          </w:p>
        </w:tc>
      </w:tr>
      <w:tr w:rsidR="005713CE" w:rsidRPr="007C0F2A" w:rsidTr="005713CE">
        <w:trPr>
          <w:trHeight w:val="246"/>
        </w:trPr>
        <w:tc>
          <w:tcPr>
            <w:tcW w:w="0" w:type="auto"/>
            <w:vMerge/>
            <w:vAlign w:val="center"/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14.3.3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Demonstrate ability to select, store, prepare, and serve nutritious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, 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aesthetically pleasing food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food product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5713CE" w:rsidRPr="007C0F2A" w:rsidTr="00A80F22">
        <w:trPr>
          <w:trHeight w:val="246"/>
        </w:trPr>
        <w:tc>
          <w:tcPr>
            <w:tcW w:w="0" w:type="auto"/>
            <w:vMerge/>
            <w:vAlign w:val="center"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5713CE" w:rsidRPr="007C0F2A" w:rsidRDefault="005713CE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713CE" w:rsidRPr="007C0F2A" w:rsidRDefault="005713CE" w:rsidP="004958EF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14.3.4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713CE" w:rsidRPr="007C0F2A" w:rsidRDefault="005713CE" w:rsidP="004958EF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Evaluate policies and practices that impact food security, sustainability, food integrity, and nutrition and wellness of individuals and families.</w:t>
            </w:r>
          </w:p>
        </w:tc>
      </w:tr>
      <w:tr w:rsidR="000F79FD" w:rsidRPr="007C0F2A" w:rsidTr="00A80F22">
        <w:tc>
          <w:tcPr>
            <w:tcW w:w="47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0F79FD" w:rsidRPr="007C0F2A" w:rsidTr="00A80F22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14.4</w:t>
            </w:r>
          </w:p>
        </w:tc>
        <w:tc>
          <w:tcPr>
            <w:tcW w:w="2938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Evaluate factors that affect food safety from production through consumption.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14.4.1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conditions and practices that promote safe food handling.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14.4.2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safety and sanitation practices</w:t>
            </w:r>
            <w:r w:rsidR="00BB626F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14.4.3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how changes in national and international food production and distribution systems influence the food supply</w:t>
            </w:r>
            <w:r w:rsidR="00BB626F">
              <w:rPr>
                <w:rFonts w:eastAsia="Times New Roman" w:cs="Arial"/>
                <w:sz w:val="22"/>
                <w:szCs w:val="22"/>
                <w:lang w:bidi="ar-SA"/>
              </w:rPr>
              <w:t>, including sustainability, organic food production and the impact of genetically modified foods.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14.4.4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4958EF" w:rsidP="004958E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Investigate 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federal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>, state, and local inspection and labeling systems that protect the health of individuals and the public.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14.4.5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Analyze </w:t>
            </w:r>
            <w:r w:rsidR="004958EF">
              <w:rPr>
                <w:rFonts w:eastAsia="Times New Roman" w:cs="Arial"/>
                <w:sz w:val="22"/>
                <w:szCs w:val="22"/>
                <w:lang w:bidi="ar-SA"/>
              </w:rPr>
              <w:t xml:space="preserve">foodborne </w:t>
            </w:r>
            <w:r w:rsidR="004958EF" w:rsidRPr="007C0F2A">
              <w:rPr>
                <w:rFonts w:eastAsia="Times New Roman" w:cs="Arial"/>
                <w:sz w:val="22"/>
                <w:szCs w:val="22"/>
                <w:lang w:bidi="ar-SA"/>
              </w:rPr>
              <w:t>illness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factors, including </w:t>
            </w:r>
            <w:r w:rsidR="004958EF"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causes, </w:t>
            </w:r>
            <w:r w:rsidR="004958EF">
              <w:rPr>
                <w:rFonts w:eastAsia="Times New Roman" w:cs="Arial"/>
                <w:sz w:val="22"/>
                <w:szCs w:val="22"/>
                <w:lang w:bidi="ar-SA"/>
              </w:rPr>
              <w:t>potentially</w:t>
            </w:r>
            <w:r w:rsidR="005C5FF2">
              <w:rPr>
                <w:rFonts w:eastAsia="Times New Roman" w:cs="Arial"/>
                <w:sz w:val="22"/>
                <w:szCs w:val="22"/>
                <w:lang w:bidi="ar-SA"/>
              </w:rPr>
              <w:t xml:space="preserve"> hazardous foods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, and methods of prevention</w:t>
            </w:r>
            <w:r w:rsidR="005C5FF2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14.4.6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Analyze </w:t>
            </w:r>
            <w:r w:rsidR="00BB626F">
              <w:rPr>
                <w:rFonts w:eastAsia="Times New Roman" w:cs="Arial"/>
                <w:sz w:val="22"/>
                <w:szCs w:val="22"/>
                <w:lang w:bidi="ar-SA"/>
              </w:rPr>
              <w:t>current consumer information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about food safety and sanitation.</w:t>
            </w:r>
          </w:p>
        </w:tc>
      </w:tr>
      <w:tr w:rsidR="000F79FD" w:rsidRPr="007C0F2A" w:rsidTr="00A80F22">
        <w:tc>
          <w:tcPr>
            <w:tcW w:w="47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0F79FD" w:rsidRPr="007C0F2A" w:rsidTr="00A80F22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14.5</w:t>
            </w:r>
          </w:p>
        </w:tc>
        <w:tc>
          <w:tcPr>
            <w:tcW w:w="2938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Evaluate the influence of science and </w:t>
            </w:r>
            <w:r w:rsidR="004958EF" w:rsidRPr="007C0F2A">
              <w:rPr>
                <w:rFonts w:eastAsia="Times New Roman" w:cs="Arial"/>
                <w:sz w:val="22"/>
                <w:szCs w:val="22"/>
                <w:lang w:bidi="ar-SA"/>
              </w:rPr>
              <w:t>technology</w:t>
            </w:r>
            <w:r w:rsidR="004958EF">
              <w:rPr>
                <w:rFonts w:eastAsia="Times New Roman" w:cs="Arial"/>
                <w:sz w:val="22"/>
                <w:szCs w:val="22"/>
                <w:lang w:bidi="ar-SA"/>
              </w:rPr>
              <w:t xml:space="preserve"> on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food</w:t>
            </w:r>
            <w:r w:rsidR="00EE5C9F">
              <w:rPr>
                <w:rFonts w:eastAsia="Times New Roman" w:cs="Arial"/>
                <w:sz w:val="22"/>
                <w:szCs w:val="22"/>
                <w:lang w:bidi="ar-SA"/>
              </w:rPr>
              <w:t>, nutrition, and wellness</w:t>
            </w:r>
            <w:r w:rsidR="00880F09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14.5.1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4958EF" w:rsidP="004958E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Investigate </w:t>
            </w: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how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 xml:space="preserve"> scientific and technical advances</w:t>
            </w:r>
            <w:r w:rsidR="004B6409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0F79FD" w:rsidRPr="007C0F2A">
              <w:rPr>
                <w:rFonts w:eastAsia="Times New Roman" w:cs="Arial"/>
                <w:sz w:val="22"/>
                <w:szCs w:val="22"/>
                <w:lang w:bidi="ar-SA"/>
              </w:rPr>
              <w:t>influence the nutrient content, availability, and safety of foods.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14.5.2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how the scientific and technical advances in food processing, storage, product development, and distribution influence nutrition and wellness.</w:t>
            </w:r>
            <w:r w:rsidR="00C550FA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14.5.3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Analyze the effects of technological advances on selection, preparation and home storage of food.</w:t>
            </w:r>
          </w:p>
        </w:tc>
      </w:tr>
      <w:tr w:rsidR="000F79FD" w:rsidRPr="007C0F2A" w:rsidTr="00A80F22"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 14.5.4</w:t>
            </w:r>
          </w:p>
        </w:tc>
        <w:tc>
          <w:tcPr>
            <w:tcW w:w="516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F79FD" w:rsidRPr="007C0F2A" w:rsidRDefault="000F79FD" w:rsidP="004958EF">
            <w:pPr>
              <w:rPr>
                <w:rFonts w:eastAsia="Times New Roman"/>
                <w:lang w:bidi="ar-SA"/>
              </w:rPr>
            </w:pPr>
            <w:r w:rsidRPr="007C0F2A">
              <w:rPr>
                <w:rFonts w:eastAsia="Times New Roman" w:cs="Arial"/>
                <w:sz w:val="22"/>
                <w:szCs w:val="22"/>
                <w:lang w:bidi="ar-SA"/>
              </w:rPr>
              <w:t>Analyze the effects of food science and technology on meeting nutritional needs.</w:t>
            </w:r>
            <w:r w:rsidR="005C5FF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3400E0" w:rsidRDefault="003400E0" w:rsidP="004958EF"/>
    <w:sectPr w:rsidR="003400E0" w:rsidSect="004E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78" w:rsidRDefault="00AE3A78" w:rsidP="005713CE">
      <w:r>
        <w:separator/>
      </w:r>
    </w:p>
  </w:endnote>
  <w:endnote w:type="continuationSeparator" w:id="0">
    <w:p w:rsidR="00AE3A78" w:rsidRDefault="00AE3A78" w:rsidP="005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2E" w:rsidRDefault="00CF5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2E" w:rsidRDefault="00CF542E" w:rsidP="005713CE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2" w:name="_Hlk481867084"/>
    <w:bookmarkStart w:id="3" w:name="_Hlk481867085"/>
    <w:r>
      <w:rPr>
        <w:sz w:val="22"/>
        <w:szCs w:val="22"/>
      </w:rPr>
      <w:t>FCS National Standards 3.0 (NASAFACS 2018)</w:t>
    </w:r>
  </w:p>
  <w:p w:rsidR="005713CE" w:rsidRPr="005713CE" w:rsidRDefault="005713CE" w:rsidP="005713CE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14 Nutrition and Wellness</w:t>
    </w:r>
    <w:r w:rsidRPr="00BE2588">
      <w:rPr>
        <w:sz w:val="22"/>
        <w:szCs w:val="22"/>
      </w:rPr>
      <w:t xml:space="preserve">, </w:t>
    </w:r>
    <w:r w:rsidR="001A1754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CF542E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7002E6">
      <w:rPr>
        <w:bCs/>
        <w:i/>
        <w:noProof/>
        <w:sz w:val="22"/>
        <w:szCs w:val="22"/>
      </w:rPr>
      <w:t>2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7002E6">
      <w:rPr>
        <w:bCs/>
        <w:i/>
        <w:noProof/>
        <w:sz w:val="22"/>
        <w:szCs w:val="22"/>
      </w:rPr>
      <w:t>2</w:t>
    </w:r>
    <w:r w:rsidRPr="00BE2588">
      <w:rPr>
        <w:bCs/>
        <w:i/>
        <w:sz w:val="22"/>
        <w:szCs w:val="22"/>
      </w:rPr>
      <w:fldChar w:fldCharType="end"/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2E" w:rsidRDefault="00CF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78" w:rsidRDefault="00AE3A78" w:rsidP="005713CE">
      <w:r>
        <w:separator/>
      </w:r>
    </w:p>
  </w:footnote>
  <w:footnote w:type="continuationSeparator" w:id="0">
    <w:p w:rsidR="00AE3A78" w:rsidRDefault="00AE3A78" w:rsidP="0057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2E" w:rsidRDefault="00CF5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2E" w:rsidRDefault="00CF5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2E" w:rsidRDefault="00CF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B2047"/>
    <w:multiLevelType w:val="hybridMultilevel"/>
    <w:tmpl w:val="F4982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0"/>
    <w:rsid w:val="00001CBB"/>
    <w:rsid w:val="000226A5"/>
    <w:rsid w:val="000659C9"/>
    <w:rsid w:val="000772AA"/>
    <w:rsid w:val="000F79FD"/>
    <w:rsid w:val="00100F51"/>
    <w:rsid w:val="00182149"/>
    <w:rsid w:val="001A1754"/>
    <w:rsid w:val="00251709"/>
    <w:rsid w:val="00284E24"/>
    <w:rsid w:val="003400E0"/>
    <w:rsid w:val="00345012"/>
    <w:rsid w:val="003B2F2C"/>
    <w:rsid w:val="003E5817"/>
    <w:rsid w:val="004270F5"/>
    <w:rsid w:val="004958EF"/>
    <w:rsid w:val="004B6409"/>
    <w:rsid w:val="004E3EBB"/>
    <w:rsid w:val="005713CE"/>
    <w:rsid w:val="00571525"/>
    <w:rsid w:val="005C5FF2"/>
    <w:rsid w:val="005D20ED"/>
    <w:rsid w:val="005D3DA1"/>
    <w:rsid w:val="00624214"/>
    <w:rsid w:val="00670BF5"/>
    <w:rsid w:val="00683673"/>
    <w:rsid w:val="007002E6"/>
    <w:rsid w:val="007C0F2A"/>
    <w:rsid w:val="007E543F"/>
    <w:rsid w:val="00834C19"/>
    <w:rsid w:val="00880F09"/>
    <w:rsid w:val="008E7EA2"/>
    <w:rsid w:val="008F7F9F"/>
    <w:rsid w:val="00914447"/>
    <w:rsid w:val="00924A0C"/>
    <w:rsid w:val="009371B6"/>
    <w:rsid w:val="0095536D"/>
    <w:rsid w:val="00987BD1"/>
    <w:rsid w:val="00A80F22"/>
    <w:rsid w:val="00AC63CD"/>
    <w:rsid w:val="00AE3A78"/>
    <w:rsid w:val="00B03885"/>
    <w:rsid w:val="00B21FDC"/>
    <w:rsid w:val="00BB10C0"/>
    <w:rsid w:val="00BB626F"/>
    <w:rsid w:val="00C550FA"/>
    <w:rsid w:val="00C8058C"/>
    <w:rsid w:val="00CF542E"/>
    <w:rsid w:val="00D52A5C"/>
    <w:rsid w:val="00D652A5"/>
    <w:rsid w:val="00E2316B"/>
    <w:rsid w:val="00E7600D"/>
    <w:rsid w:val="00EE5C9F"/>
    <w:rsid w:val="00F82D2B"/>
    <w:rsid w:val="00F846A4"/>
    <w:rsid w:val="00FD64EC"/>
    <w:rsid w:val="00FE1DDF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B85D-4AB4-48DD-BBAE-716F0C9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3">
    <w:name w:val="style23"/>
    <w:basedOn w:val="DefaultParagraphFont"/>
    <w:rsid w:val="003400E0"/>
  </w:style>
  <w:style w:type="character" w:customStyle="1" w:styleId="apple-converted-space">
    <w:name w:val="apple-converted-space"/>
    <w:basedOn w:val="DefaultParagraphFont"/>
    <w:rsid w:val="008F7F9F"/>
  </w:style>
  <w:style w:type="character" w:customStyle="1" w:styleId="style1">
    <w:name w:val="style1"/>
    <w:basedOn w:val="DefaultParagraphFont"/>
    <w:rsid w:val="008F7F9F"/>
  </w:style>
  <w:style w:type="character" w:customStyle="1" w:styleId="style2">
    <w:name w:val="style2"/>
    <w:basedOn w:val="DefaultParagraphFont"/>
    <w:rsid w:val="0095536D"/>
  </w:style>
  <w:style w:type="paragraph" w:customStyle="1" w:styleId="style11">
    <w:name w:val="style11"/>
    <w:basedOn w:val="Normal"/>
    <w:rsid w:val="0095536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5FF2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1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CE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1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CE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Peggy Wild</cp:lastModifiedBy>
  <cp:revision>10</cp:revision>
  <cp:lastPrinted>2017-06-12T22:33:00Z</cp:lastPrinted>
  <dcterms:created xsi:type="dcterms:W3CDTF">2017-05-07T04:19:00Z</dcterms:created>
  <dcterms:modified xsi:type="dcterms:W3CDTF">2017-06-12T22:33:00Z</dcterms:modified>
</cp:coreProperties>
</file>