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E0" w:rsidRDefault="00016DEA" w:rsidP="00CD79B5">
      <w:pPr>
        <w:rPr>
          <w:sz w:val="20"/>
          <w:szCs w:val="20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-584200</wp:posOffset>
            </wp:positionV>
            <wp:extent cx="1108710" cy="1233805"/>
            <wp:effectExtent l="0" t="0" r="0" b="444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485"/>
        <w:gridCol w:w="75"/>
        <w:gridCol w:w="2790"/>
        <w:gridCol w:w="75"/>
        <w:gridCol w:w="564"/>
        <w:gridCol w:w="75"/>
        <w:gridCol w:w="5146"/>
        <w:gridCol w:w="75"/>
      </w:tblGrid>
      <w:tr w:rsidR="003400E0" w:rsidRPr="00BE35DC" w:rsidTr="00CD79B5">
        <w:trPr>
          <w:trHeight w:val="20"/>
          <w:tblHeader/>
        </w:trPr>
        <w:tc>
          <w:tcPr>
            <w:tcW w:w="9360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0E0" w:rsidRPr="00BE35DC" w:rsidRDefault="003400E0" w:rsidP="00CD79B5">
            <w:pPr>
              <w:rPr>
                <w:sz w:val="20"/>
                <w:szCs w:val="20"/>
              </w:rPr>
            </w:pPr>
            <w:r w:rsidRPr="00BE35DC">
              <w:rPr>
                <w:b/>
                <w:sz w:val="27"/>
                <w:szCs w:val="27"/>
              </w:rPr>
              <w:t>National Standards for Family and Consumer Sciences Education</w:t>
            </w:r>
            <w:r w:rsidRPr="00BE35DC">
              <w:br/>
            </w:r>
            <w:r w:rsidRPr="00BE35DC">
              <w:rPr>
                <w:sz w:val="20"/>
                <w:szCs w:val="20"/>
              </w:rPr>
              <w:t>Copyright © 2018</w:t>
            </w:r>
            <w:r w:rsidRPr="00BE35DC">
              <w:rPr>
                <w:sz w:val="20"/>
                <w:szCs w:val="20"/>
              </w:rPr>
              <w:br/>
              <w:t>Developed by National Association of State Administrators of Family and Consumer Sciences (NASAFACS)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tblHeader/>
          <w:jc w:val="center"/>
        </w:trPr>
        <w:tc>
          <w:tcPr>
            <w:tcW w:w="9285" w:type="dxa"/>
            <w:gridSpan w:val="8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CD79B5" w:rsidRPr="00CD79B5" w:rsidRDefault="00E7600D" w:rsidP="00CD79B5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BE35D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Area of Study 12.0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trHeight w:val="20"/>
          <w:tblHeader/>
          <w:jc w:val="center"/>
        </w:trPr>
        <w:tc>
          <w:tcPr>
            <w:tcW w:w="9285" w:type="dxa"/>
            <w:gridSpan w:val="8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Default="00E7600D" w:rsidP="00CD79B5">
            <w:pPr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</w:pPr>
            <w:r w:rsidRPr="00BE35D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Human Development</w:t>
            </w:r>
          </w:p>
          <w:p w:rsidR="00CD79B5" w:rsidRPr="00BE35DC" w:rsidRDefault="00CD79B5" w:rsidP="00CD79B5">
            <w:pPr>
              <w:rPr>
                <w:rFonts w:eastAsia="Times New Roman"/>
                <w:lang w:bidi="ar-SA"/>
              </w:rPr>
            </w:pPr>
          </w:p>
        </w:tc>
      </w:tr>
      <w:tr w:rsidR="00CD79B5" w:rsidRPr="00BE35DC" w:rsidTr="00CD79B5">
        <w:tblPrEx>
          <w:jc w:val="center"/>
        </w:tblPrEx>
        <w:trPr>
          <w:gridBefore w:val="1"/>
          <w:wBefore w:w="75" w:type="dxa"/>
          <w:trHeight w:val="20"/>
          <w:jc w:val="center"/>
        </w:trPr>
        <w:tc>
          <w:tcPr>
            <w:tcW w:w="9285" w:type="dxa"/>
            <w:gridSpan w:val="8"/>
            <w:tcMar>
              <w:top w:w="0" w:type="dxa"/>
              <w:left w:w="29" w:type="dxa"/>
              <w:bottom w:w="0" w:type="dxa"/>
              <w:right w:w="29" w:type="dxa"/>
            </w:tcMar>
          </w:tcPr>
          <w:p w:rsidR="00766EF9" w:rsidRPr="00CF0FF0" w:rsidRDefault="00766EF9" w:rsidP="00766EF9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bookmarkStart w:id="0" w:name="_Hlk479078450"/>
            <w:r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Family and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Sciences National Standards are </w:t>
            </w:r>
            <w:r w:rsidRPr="00CF0FF0">
              <w:rPr>
                <w:rFonts w:eastAsia="Times New Roman" w:cs="Arial"/>
                <w:bCs/>
                <w:sz w:val="22"/>
                <w:szCs w:val="22"/>
                <w:u w:val="single"/>
                <w:lang w:bidi="ar-SA"/>
              </w:rPr>
              <w:t>outcomes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; that is, expectations of what students should know and be able to do upon completion of a sequence of courses in a defined pathway/program of study. </w:t>
            </w:r>
          </w:p>
          <w:p w:rsidR="00766EF9" w:rsidRPr="00CF0FF0" w:rsidRDefault="00766EF9" w:rsidP="00766EF9">
            <w:pPr>
              <w:numPr>
                <w:ilvl w:val="0"/>
                <w:numId w:val="1"/>
              </w:numPr>
              <w:rPr>
                <w:rFonts w:eastAsia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As state or local curriculum is developed, the national standards should be utilized as indicators of student achievement at the end of the pathway/program of study. Benchmarks should be developed at the state or local level for student achievement in earlier courses. </w:t>
            </w:r>
          </w:p>
          <w:p w:rsidR="00CD79B5" w:rsidRPr="00CD79B5" w:rsidRDefault="00CD79B5" w:rsidP="00766EF9">
            <w:pPr>
              <w:pStyle w:val="ListParagraph"/>
              <w:numPr>
                <w:ilvl w:val="0"/>
                <w:numId w:val="1"/>
              </w:numPr>
            </w:pP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>The standards are grouped by Areas of Study, NOT by courses</w:t>
            </w:r>
            <w:r w:rsidR="00B524D3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or course sequences</w:t>
            </w:r>
            <w:r w:rsidR="00B524D3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. It is expected that content knowledge and skills from multiple Areas of Study </w:t>
            </w:r>
            <w:r w:rsidR="00B524D3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would be utilized </w:t>
            </w:r>
            <w:r w:rsidR="00B524D3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when building courses </w:t>
            </w:r>
            <w:r w:rsidR="00B524D3">
              <w:rPr>
                <w:rFonts w:eastAsia="Times New Roman" w:cs="Arial"/>
                <w:bCs/>
                <w:sz w:val="22"/>
                <w:szCs w:val="22"/>
                <w:lang w:bidi="ar-SA"/>
              </w:rPr>
              <w:t>and course sequences for related Career Pathways</w:t>
            </w:r>
            <w:r w:rsidR="00B524D3" w:rsidRPr="003C160F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</w:t>
            </w: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>for state or local uses. For example, standards from Area 1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2 Human Development</w:t>
            </w: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might be incorporated into course sequences for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Are</w:t>
            </w: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a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3</w:t>
            </w: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 xml:space="preserve"> Consumer </w:t>
            </w:r>
            <w:r>
              <w:rPr>
                <w:rFonts w:eastAsia="Times New Roman" w:cs="Arial"/>
                <w:bCs/>
                <w:sz w:val="22"/>
                <w:szCs w:val="22"/>
                <w:lang w:bidi="ar-SA"/>
              </w:rPr>
              <w:t>Services, Area 4 Education and Early Childhood, and Area 7 Family and Community Services as well as course sequences for additional p</w:t>
            </w:r>
            <w:r w:rsidRPr="00CD79B5">
              <w:rPr>
                <w:rFonts w:eastAsia="Times New Roman" w:cs="Arial"/>
                <w:bCs/>
                <w:sz w:val="22"/>
                <w:szCs w:val="22"/>
                <w:lang w:bidi="ar-SA"/>
              </w:rPr>
              <w:t>athways.</w:t>
            </w:r>
            <w:bookmarkEnd w:id="0"/>
          </w:p>
          <w:p w:rsidR="00CD79B5" w:rsidRDefault="00CD79B5" w:rsidP="00CD79B5">
            <w:pPr>
              <w:pStyle w:val="ListParagraph"/>
              <w:ind w:left="360"/>
            </w:pP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0" w:type="auto"/>
            <w:gridSpan w:val="2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5221" w:type="dxa"/>
            <w:gridSpan w:val="2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9285" w:type="dxa"/>
            <w:gridSpan w:val="8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Comprehensive Standard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br/>
              <w:t xml:space="preserve">Analyze factors that influence human growth </w:t>
            </w:r>
            <w:r w:rsidR="00DC24D2">
              <w:rPr>
                <w:rFonts w:eastAsia="Times New Roman" w:cs="Arial"/>
                <w:sz w:val="22"/>
                <w:szCs w:val="22"/>
                <w:lang w:bidi="ar-SA"/>
              </w:rPr>
              <w:t>and</w:t>
            </w:r>
            <w:r w:rsidR="00DC24D2"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development.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9285" w:type="dxa"/>
            <w:gridSpan w:val="8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3425" w:type="dxa"/>
            <w:gridSpan w:val="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Content Standards</w:t>
            </w:r>
          </w:p>
        </w:tc>
        <w:tc>
          <w:tcPr>
            <w:tcW w:w="5860" w:type="dxa"/>
            <w:gridSpan w:val="4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b/>
                <w:bCs/>
                <w:sz w:val="22"/>
                <w:szCs w:val="22"/>
                <w:lang w:bidi="ar-SA"/>
              </w:rPr>
              <w:t>Competencies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560" w:type="dxa"/>
            <w:gridSpan w:val="2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12.1</w:t>
            </w:r>
          </w:p>
        </w:tc>
        <w:tc>
          <w:tcPr>
            <w:tcW w:w="2865" w:type="dxa"/>
            <w:gridSpan w:val="2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Analyze</w:t>
            </w:r>
            <w:r w:rsidRPr="00BE35DC">
              <w:rPr>
                <w:rFonts w:eastAsia="Times New Roman" w:cs="Arial"/>
                <w:b/>
                <w:bCs/>
                <w:i/>
                <w:iCs/>
                <w:sz w:val="22"/>
                <w:szCs w:val="22"/>
                <w:lang w:bidi="ar-SA"/>
              </w:rPr>
              <w:t> 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principles of human growth and development across the life span.</w:t>
            </w: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12.1.1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physical, emotional, social, </w:t>
            </w:r>
            <w:r w:rsidR="00DC24D2">
              <w:rPr>
                <w:rFonts w:eastAsia="Times New Roman" w:cs="Arial"/>
                <w:sz w:val="22"/>
                <w:szCs w:val="22"/>
                <w:lang w:bidi="ar-SA"/>
              </w:rPr>
              <w:t>moral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, and </w:t>
            </w:r>
            <w:r w:rsidR="00DC24D2">
              <w:rPr>
                <w:rFonts w:eastAsia="Times New Roman" w:cs="Arial"/>
                <w:sz w:val="22"/>
                <w:szCs w:val="22"/>
                <w:lang w:bidi="ar-SA"/>
              </w:rPr>
              <w:t>cognitive</w:t>
            </w:r>
            <w:r w:rsidR="00DC24D2"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development.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12.1.2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Analyze interrelationships among physical, emotional, social,</w:t>
            </w:r>
            <w:r w:rsidR="00B524D3">
              <w:rPr>
                <w:rFonts w:eastAsia="Times New Roman" w:cs="Arial"/>
                <w:sz w:val="22"/>
                <w:szCs w:val="22"/>
                <w:lang w:bidi="ar-SA"/>
              </w:rPr>
              <w:t xml:space="preserve"> moral,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and </w:t>
            </w:r>
            <w:r w:rsidR="00D90FE0">
              <w:rPr>
                <w:rFonts w:eastAsia="Times New Roman" w:cs="Arial"/>
                <w:sz w:val="22"/>
                <w:szCs w:val="22"/>
                <w:lang w:bidi="ar-SA"/>
              </w:rPr>
              <w:t>cognitive</w:t>
            </w:r>
            <w:r w:rsidR="00D90FE0"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aspects of human growth and development.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12.1.3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current and emerging research about human growth and development, including </w:t>
            </w:r>
            <w:r w:rsidR="009851A3">
              <w:rPr>
                <w:rFonts w:eastAsia="Times New Roman" w:cs="Arial"/>
                <w:sz w:val="22"/>
                <w:szCs w:val="22"/>
                <w:lang w:bidi="ar-SA"/>
              </w:rPr>
              <w:t xml:space="preserve">but not limited to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brain development</w:t>
            </w:r>
            <w:r w:rsidR="009851A3"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 research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56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6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560" w:type="dxa"/>
            <w:gridSpan w:val="2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12.2</w:t>
            </w:r>
          </w:p>
        </w:tc>
        <w:tc>
          <w:tcPr>
            <w:tcW w:w="2865" w:type="dxa"/>
            <w:gridSpan w:val="2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Analyze conditions that influence human growth and development.</w:t>
            </w: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12.2.1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</w:t>
            </w:r>
            <w:r w:rsidR="001A39C9">
              <w:rPr>
                <w:rFonts w:eastAsia="Times New Roman" w:cs="Arial"/>
                <w:sz w:val="22"/>
                <w:szCs w:val="22"/>
                <w:lang w:bidi="ar-SA"/>
              </w:rPr>
              <w:t>influences</w:t>
            </w:r>
            <w:r w:rsidR="001A39C9"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of heredity and environment on human growth and development.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12.2.2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</w:t>
            </w:r>
            <w:r w:rsidR="007F36FC">
              <w:rPr>
                <w:rFonts w:eastAsia="Times New Roman" w:cs="Arial"/>
                <w:sz w:val="22"/>
                <w:szCs w:val="22"/>
                <w:lang w:bidi="ar-SA"/>
              </w:rPr>
              <w:t>influences</w:t>
            </w:r>
            <w:r w:rsidR="007F36FC"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of social, economic, and technological forces on individual growth and development.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12.2.3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</w:t>
            </w:r>
            <w:r w:rsidR="001A39C9">
              <w:rPr>
                <w:rFonts w:eastAsia="Times New Roman" w:cs="Arial"/>
                <w:sz w:val="22"/>
                <w:szCs w:val="22"/>
                <w:lang w:bidi="ar-SA"/>
              </w:rPr>
              <w:t>influences</w:t>
            </w:r>
            <w:r w:rsidR="001A39C9"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of gender, ethnicity, and culture on individual development.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12.2.4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</w:t>
            </w:r>
            <w:r w:rsidR="00F566EA">
              <w:rPr>
                <w:rFonts w:eastAsia="Times New Roman" w:cs="Arial"/>
                <w:sz w:val="22"/>
                <w:szCs w:val="22"/>
                <w:lang w:bidi="ar-SA"/>
              </w:rPr>
              <w:t>influences</w:t>
            </w:r>
            <w:r w:rsidR="00F566EA"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of life events on individuals' physical, </w:t>
            </w:r>
            <w:r w:rsidR="00B524D3">
              <w:rPr>
                <w:rFonts w:eastAsia="Times New Roman" w:cs="Arial"/>
                <w:sz w:val="22"/>
                <w:szCs w:val="22"/>
                <w:lang w:bidi="ar-SA"/>
              </w:rPr>
              <w:t xml:space="preserve">emotional, </w:t>
            </w:r>
            <w:r w:rsidR="00B524D3" w:rsidRPr="00BE35DC">
              <w:rPr>
                <w:rFonts w:eastAsia="Times New Roman" w:cs="Arial"/>
                <w:sz w:val="22"/>
                <w:szCs w:val="22"/>
                <w:lang w:bidi="ar-SA"/>
              </w:rPr>
              <w:t>social,</w:t>
            </w:r>
            <w:r w:rsidR="00B524D3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="00B524D3" w:rsidRPr="00BE35DC">
              <w:rPr>
                <w:rFonts w:eastAsia="Times New Roman" w:cs="Arial"/>
                <w:sz w:val="22"/>
                <w:szCs w:val="22"/>
                <w:lang w:bidi="ar-SA"/>
              </w:rPr>
              <w:t>moral</w:t>
            </w:r>
            <w:r w:rsidR="00B524D3">
              <w:rPr>
                <w:rFonts w:eastAsia="Times New Roman" w:cs="Arial"/>
                <w:sz w:val="22"/>
                <w:szCs w:val="22"/>
                <w:lang w:bidi="ar-SA"/>
              </w:rPr>
              <w:t xml:space="preserve"> and </w:t>
            </w:r>
            <w:r w:rsidR="001A39C9">
              <w:rPr>
                <w:rFonts w:eastAsia="Times New Roman" w:cs="Arial"/>
                <w:sz w:val="22"/>
                <w:szCs w:val="22"/>
                <w:lang w:bidi="ar-SA"/>
              </w:rPr>
              <w:t>cognitive</w:t>
            </w:r>
            <w:r w:rsidR="00B524D3">
              <w:rPr>
                <w:rFonts w:eastAsia="Times New Roman" w:cs="Arial"/>
                <w:sz w:val="22"/>
                <w:szCs w:val="22"/>
                <w:lang w:bidi="ar-SA"/>
              </w:rPr>
              <w:t xml:space="preserve">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development.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12.2.5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Analyze geographic, political, and global influences on human growth and development.</w:t>
            </w:r>
          </w:p>
        </w:tc>
      </w:tr>
      <w:tr w:rsidR="00E7600D" w:rsidRPr="00BE35DC" w:rsidTr="00CD79B5">
        <w:tblPrEx>
          <w:jc w:val="center"/>
        </w:tblPrEx>
        <w:trPr>
          <w:gridBefore w:val="1"/>
          <w:wBefore w:w="75" w:type="dxa"/>
          <w:jc w:val="center"/>
        </w:trPr>
        <w:tc>
          <w:tcPr>
            <w:tcW w:w="560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2865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 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2455BF" w:rsidRPr="00BE35DC" w:rsidRDefault="002455BF" w:rsidP="00CD79B5">
            <w:pPr>
              <w:rPr>
                <w:rFonts w:eastAsia="Times New Roman"/>
                <w:lang w:bidi="ar-SA"/>
              </w:rPr>
            </w:pPr>
          </w:p>
        </w:tc>
      </w:tr>
      <w:tr w:rsidR="00E7600D" w:rsidRPr="00BE35DC" w:rsidTr="00B524D3">
        <w:tblPrEx>
          <w:jc w:val="center"/>
        </w:tblPrEx>
        <w:trPr>
          <w:gridAfter w:val="1"/>
          <w:wAfter w:w="75" w:type="dxa"/>
          <w:jc w:val="center"/>
        </w:trPr>
        <w:tc>
          <w:tcPr>
            <w:tcW w:w="560" w:type="dxa"/>
            <w:gridSpan w:val="2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lastRenderedPageBreak/>
              <w:t> </w:t>
            </w:r>
            <w:r w:rsidR="00B524D3" w:rsidRPr="00BE35DC">
              <w:rPr>
                <w:rFonts w:eastAsia="Times New Roman" w:cs="Arial"/>
                <w:sz w:val="22"/>
                <w:szCs w:val="22"/>
                <w:lang w:bidi="ar-SA"/>
              </w:rPr>
              <w:t>12.3</w:t>
            </w:r>
          </w:p>
        </w:tc>
        <w:tc>
          <w:tcPr>
            <w:tcW w:w="2865" w:type="dxa"/>
            <w:gridSpan w:val="2"/>
            <w:vMerge w:val="restart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Analyze strategies that promote growth and development across the life span.</w:t>
            </w: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12.3.1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Analyze the role of nurturance on human growth and development.</w:t>
            </w:r>
          </w:p>
        </w:tc>
      </w:tr>
      <w:tr w:rsidR="00E7600D" w:rsidRPr="00BE35DC" w:rsidTr="00B524D3">
        <w:tblPrEx>
          <w:jc w:val="center"/>
        </w:tblPrEx>
        <w:trPr>
          <w:gridAfter w:val="1"/>
          <w:wAfter w:w="7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12.3.2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Analyze the role of communication on human growth and development.</w:t>
            </w:r>
          </w:p>
        </w:tc>
      </w:tr>
      <w:tr w:rsidR="00E7600D" w:rsidRPr="00BE35DC" w:rsidTr="00B524D3">
        <w:tblPrEx>
          <w:jc w:val="center"/>
        </w:tblPrEx>
        <w:trPr>
          <w:gridAfter w:val="1"/>
          <w:wAfter w:w="75" w:type="dxa"/>
          <w:jc w:val="center"/>
        </w:trPr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</w:p>
        </w:tc>
        <w:tc>
          <w:tcPr>
            <w:tcW w:w="639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12.3.3</w:t>
            </w:r>
          </w:p>
        </w:tc>
        <w:tc>
          <w:tcPr>
            <w:tcW w:w="5221" w:type="dxa"/>
            <w:gridSpan w:val="2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E7600D" w:rsidRPr="00BE35DC" w:rsidRDefault="00E7600D" w:rsidP="00CD79B5">
            <w:pPr>
              <w:rPr>
                <w:rFonts w:eastAsia="Times New Roman"/>
                <w:lang w:bidi="ar-SA"/>
              </w:rPr>
            </w:pP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Analyze the role of </w:t>
            </w:r>
            <w:r w:rsidR="00EA245E">
              <w:rPr>
                <w:rFonts w:eastAsia="Times New Roman" w:cs="Arial"/>
                <w:sz w:val="22"/>
                <w:szCs w:val="22"/>
                <w:lang w:bidi="ar-SA"/>
              </w:rPr>
              <w:t xml:space="preserve">educational and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 xml:space="preserve">family and social services support systems </w:t>
            </w:r>
            <w:r w:rsidR="0058741E">
              <w:rPr>
                <w:rFonts w:eastAsia="Times New Roman" w:cs="Arial"/>
                <w:sz w:val="22"/>
                <w:szCs w:val="22"/>
                <w:lang w:bidi="ar-SA"/>
              </w:rPr>
              <w:t xml:space="preserve">and resources </w:t>
            </w:r>
            <w:r w:rsidRPr="00BE35DC">
              <w:rPr>
                <w:rFonts w:eastAsia="Times New Roman" w:cs="Arial"/>
                <w:sz w:val="22"/>
                <w:szCs w:val="22"/>
                <w:lang w:bidi="ar-SA"/>
              </w:rPr>
              <w:t>in meeting human growth and development needs.</w:t>
            </w:r>
          </w:p>
        </w:tc>
      </w:tr>
    </w:tbl>
    <w:p w:rsidR="003400E0" w:rsidRDefault="003400E0" w:rsidP="00CD79B5"/>
    <w:sectPr w:rsidR="003400E0" w:rsidSect="004E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660" w:rsidRDefault="00A34660" w:rsidP="00B524D3">
      <w:r>
        <w:separator/>
      </w:r>
    </w:p>
  </w:endnote>
  <w:endnote w:type="continuationSeparator" w:id="0">
    <w:p w:rsidR="00A34660" w:rsidRDefault="00A34660" w:rsidP="00B5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EF" w:rsidRDefault="00AC3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9E" w:rsidRDefault="00E7159E" w:rsidP="00B524D3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bookmarkStart w:id="1" w:name="_Hlk481867084"/>
    <w:bookmarkStart w:id="2" w:name="_Hlk481867085"/>
    <w:r>
      <w:rPr>
        <w:sz w:val="22"/>
        <w:szCs w:val="22"/>
      </w:rPr>
      <w:t>FCS National Standards 3.0 (NASAFACS 2018)</w:t>
    </w:r>
  </w:p>
  <w:p w:rsidR="00B524D3" w:rsidRPr="00B524D3" w:rsidRDefault="00B524D3" w:rsidP="00B524D3">
    <w:pPr>
      <w:pStyle w:val="Footer"/>
      <w:pBdr>
        <w:top w:val="single" w:sz="4" w:space="1" w:color="auto"/>
      </w:pBdr>
      <w:jc w:val="center"/>
      <w:rPr>
        <w:sz w:val="22"/>
        <w:szCs w:val="22"/>
      </w:rPr>
    </w:pPr>
    <w:r w:rsidRPr="00BE2588">
      <w:rPr>
        <w:sz w:val="22"/>
        <w:szCs w:val="22"/>
      </w:rPr>
      <w:t xml:space="preserve">Area of Study </w:t>
    </w:r>
    <w:r w:rsidR="00AC3AEF">
      <w:rPr>
        <w:sz w:val="22"/>
        <w:szCs w:val="22"/>
      </w:rPr>
      <w:t>1</w:t>
    </w:r>
    <w:r>
      <w:rPr>
        <w:sz w:val="22"/>
        <w:szCs w:val="22"/>
      </w:rPr>
      <w:t>2</w:t>
    </w:r>
    <w:r w:rsidRPr="00BE2588">
      <w:rPr>
        <w:sz w:val="22"/>
        <w:szCs w:val="22"/>
      </w:rPr>
      <w:t xml:space="preserve"> </w:t>
    </w:r>
    <w:r w:rsidR="00AC3AEF">
      <w:rPr>
        <w:sz w:val="22"/>
        <w:szCs w:val="22"/>
      </w:rPr>
      <w:t xml:space="preserve">Human </w:t>
    </w:r>
    <w:r w:rsidR="00AC3AEF">
      <w:rPr>
        <w:sz w:val="22"/>
        <w:szCs w:val="22"/>
      </w:rPr>
      <w:t>Development</w:t>
    </w:r>
    <w:bookmarkStart w:id="3" w:name="_GoBack"/>
    <w:bookmarkEnd w:id="3"/>
    <w:r w:rsidRPr="00BE2588">
      <w:rPr>
        <w:sz w:val="22"/>
        <w:szCs w:val="22"/>
      </w:rPr>
      <w:t xml:space="preserve">, </w:t>
    </w:r>
    <w:r w:rsidR="00EA051C">
      <w:rPr>
        <w:sz w:val="22"/>
        <w:szCs w:val="22"/>
      </w:rPr>
      <w:t>June</w:t>
    </w:r>
    <w:r w:rsidRPr="00BE2588">
      <w:rPr>
        <w:sz w:val="22"/>
        <w:szCs w:val="22"/>
      </w:rPr>
      <w:t xml:space="preserve"> </w:t>
    </w:r>
    <w:r w:rsidR="00E7159E">
      <w:rPr>
        <w:sz w:val="22"/>
        <w:szCs w:val="22"/>
      </w:rPr>
      <w:t>9</w:t>
    </w:r>
    <w:r w:rsidRPr="00BE2588">
      <w:rPr>
        <w:sz w:val="22"/>
        <w:szCs w:val="22"/>
      </w:rPr>
      <w:t xml:space="preserve">, 2017, </w:t>
    </w:r>
    <w:r w:rsidRPr="00BE2588">
      <w:rPr>
        <w:i/>
        <w:sz w:val="22"/>
        <w:szCs w:val="22"/>
      </w:rPr>
      <w:t xml:space="preserve">page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PAGE  \* Arabic  \* MERGEFORMAT </w:instrText>
    </w:r>
    <w:r w:rsidRPr="00BE2588">
      <w:rPr>
        <w:bCs/>
        <w:i/>
        <w:sz w:val="22"/>
        <w:szCs w:val="22"/>
      </w:rPr>
      <w:fldChar w:fldCharType="separate"/>
    </w:r>
    <w:r w:rsidR="0054790D">
      <w:rPr>
        <w:bCs/>
        <w:i/>
        <w:noProof/>
        <w:sz w:val="22"/>
        <w:szCs w:val="22"/>
      </w:rPr>
      <w:t>1</w:t>
    </w:r>
    <w:r w:rsidRPr="00BE2588">
      <w:rPr>
        <w:bCs/>
        <w:i/>
        <w:sz w:val="22"/>
        <w:szCs w:val="22"/>
      </w:rPr>
      <w:fldChar w:fldCharType="end"/>
    </w:r>
    <w:r w:rsidRPr="00BE2588">
      <w:rPr>
        <w:i/>
        <w:sz w:val="22"/>
        <w:szCs w:val="22"/>
      </w:rPr>
      <w:t xml:space="preserve"> of </w:t>
    </w:r>
    <w:r w:rsidRPr="00BE2588">
      <w:rPr>
        <w:bCs/>
        <w:i/>
        <w:sz w:val="22"/>
        <w:szCs w:val="22"/>
      </w:rPr>
      <w:fldChar w:fldCharType="begin"/>
    </w:r>
    <w:r w:rsidRPr="00BE2588">
      <w:rPr>
        <w:bCs/>
        <w:i/>
        <w:sz w:val="22"/>
        <w:szCs w:val="22"/>
      </w:rPr>
      <w:instrText xml:space="preserve"> NUMPAGES  \* Arabic  \* MERGEFORMAT </w:instrText>
    </w:r>
    <w:r w:rsidRPr="00BE2588">
      <w:rPr>
        <w:bCs/>
        <w:i/>
        <w:sz w:val="22"/>
        <w:szCs w:val="22"/>
      </w:rPr>
      <w:fldChar w:fldCharType="separate"/>
    </w:r>
    <w:r w:rsidR="0054790D">
      <w:rPr>
        <w:bCs/>
        <w:i/>
        <w:noProof/>
        <w:sz w:val="22"/>
        <w:szCs w:val="22"/>
      </w:rPr>
      <w:t>2</w:t>
    </w:r>
    <w:r w:rsidRPr="00BE2588">
      <w:rPr>
        <w:bCs/>
        <w:i/>
        <w:sz w:val="22"/>
        <w:szCs w:val="22"/>
      </w:rPr>
      <w:fldChar w:fldCharType="end"/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EF" w:rsidRDefault="00AC3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660" w:rsidRDefault="00A34660" w:rsidP="00B524D3">
      <w:r>
        <w:separator/>
      </w:r>
    </w:p>
  </w:footnote>
  <w:footnote w:type="continuationSeparator" w:id="0">
    <w:p w:rsidR="00A34660" w:rsidRDefault="00A34660" w:rsidP="00B5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EF" w:rsidRDefault="00AC3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EF" w:rsidRDefault="00AC3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EF" w:rsidRDefault="00AC3A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2740"/>
    <w:multiLevelType w:val="hybridMultilevel"/>
    <w:tmpl w:val="FCD06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9B2047"/>
    <w:multiLevelType w:val="hybridMultilevel"/>
    <w:tmpl w:val="F4982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E0"/>
    <w:rsid w:val="00016DEA"/>
    <w:rsid w:val="0002559B"/>
    <w:rsid w:val="000659C9"/>
    <w:rsid w:val="000772AA"/>
    <w:rsid w:val="001A39C9"/>
    <w:rsid w:val="002455BF"/>
    <w:rsid w:val="003400E0"/>
    <w:rsid w:val="00345012"/>
    <w:rsid w:val="00374DA6"/>
    <w:rsid w:val="003B2F2C"/>
    <w:rsid w:val="003F788F"/>
    <w:rsid w:val="004734A2"/>
    <w:rsid w:val="0047553E"/>
    <w:rsid w:val="004A18CA"/>
    <w:rsid w:val="004E3EBB"/>
    <w:rsid w:val="0054790D"/>
    <w:rsid w:val="0058741E"/>
    <w:rsid w:val="005D3DA1"/>
    <w:rsid w:val="00670BF5"/>
    <w:rsid w:val="00766EF9"/>
    <w:rsid w:val="007E543F"/>
    <w:rsid w:val="007F36FC"/>
    <w:rsid w:val="008E7EA2"/>
    <w:rsid w:val="008F7F9F"/>
    <w:rsid w:val="0095536D"/>
    <w:rsid w:val="009851A3"/>
    <w:rsid w:val="009D31B0"/>
    <w:rsid w:val="00A34660"/>
    <w:rsid w:val="00AC3AEF"/>
    <w:rsid w:val="00B524D3"/>
    <w:rsid w:val="00B80F2F"/>
    <w:rsid w:val="00BB10C0"/>
    <w:rsid w:val="00BD20A5"/>
    <w:rsid w:val="00BE35DC"/>
    <w:rsid w:val="00CD79B5"/>
    <w:rsid w:val="00D245A7"/>
    <w:rsid w:val="00D52A5C"/>
    <w:rsid w:val="00D652A5"/>
    <w:rsid w:val="00D90FE0"/>
    <w:rsid w:val="00DC24D2"/>
    <w:rsid w:val="00E2316B"/>
    <w:rsid w:val="00E374DE"/>
    <w:rsid w:val="00E7159E"/>
    <w:rsid w:val="00E7600D"/>
    <w:rsid w:val="00EA051C"/>
    <w:rsid w:val="00EA245E"/>
    <w:rsid w:val="00F368AC"/>
    <w:rsid w:val="00F42FEF"/>
    <w:rsid w:val="00F566EA"/>
    <w:rsid w:val="00F82D2B"/>
    <w:rsid w:val="00FC311F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B0A3"/>
  <w15:chartTrackingRefBased/>
  <w15:docId w15:val="{1DBE1CBB-90B9-43EC-AAC3-6422E4C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D3DA1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D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DA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D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DA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DA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DA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DA1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3D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3D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3D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D3DA1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3DA1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3DA1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D3DA1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3DA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3DA1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D3DA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3DA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DA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3DA1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5D3DA1"/>
    <w:rPr>
      <w:b/>
      <w:bCs/>
    </w:rPr>
  </w:style>
  <w:style w:type="character" w:styleId="Emphasis">
    <w:name w:val="Emphasis"/>
    <w:uiPriority w:val="20"/>
    <w:qFormat/>
    <w:rsid w:val="005D3DA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D3DA1"/>
    <w:rPr>
      <w:szCs w:val="32"/>
    </w:rPr>
  </w:style>
  <w:style w:type="character" w:customStyle="1" w:styleId="NoSpacingChar">
    <w:name w:val="No Spacing Char"/>
    <w:link w:val="NoSpacing"/>
    <w:uiPriority w:val="1"/>
    <w:rsid w:val="005D3DA1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5D3D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3DA1"/>
    <w:rPr>
      <w:i/>
    </w:rPr>
  </w:style>
  <w:style w:type="character" w:customStyle="1" w:styleId="QuoteChar">
    <w:name w:val="Quote Char"/>
    <w:link w:val="Quote"/>
    <w:uiPriority w:val="29"/>
    <w:rsid w:val="005D3DA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DA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3DA1"/>
    <w:rPr>
      <w:b/>
      <w:i/>
      <w:sz w:val="24"/>
    </w:rPr>
  </w:style>
  <w:style w:type="character" w:styleId="SubtleEmphasis">
    <w:name w:val="Subtle Emphasis"/>
    <w:uiPriority w:val="19"/>
    <w:qFormat/>
    <w:rsid w:val="005D3DA1"/>
    <w:rPr>
      <w:i/>
      <w:color w:val="5A5A5A"/>
    </w:rPr>
  </w:style>
  <w:style w:type="character" w:styleId="IntenseEmphasis">
    <w:name w:val="Intense Emphasis"/>
    <w:uiPriority w:val="21"/>
    <w:qFormat/>
    <w:rsid w:val="005D3DA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3DA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3DA1"/>
    <w:rPr>
      <w:b/>
      <w:sz w:val="24"/>
      <w:u w:val="single"/>
    </w:rPr>
  </w:style>
  <w:style w:type="character" w:styleId="BookTitle">
    <w:name w:val="Book Title"/>
    <w:uiPriority w:val="33"/>
    <w:qFormat/>
    <w:rsid w:val="005D3DA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DA1"/>
    <w:pPr>
      <w:outlineLvl w:val="9"/>
    </w:pPr>
  </w:style>
  <w:style w:type="character" w:customStyle="1" w:styleId="style23">
    <w:name w:val="style23"/>
    <w:basedOn w:val="DefaultParagraphFont"/>
    <w:rsid w:val="003400E0"/>
  </w:style>
  <w:style w:type="character" w:customStyle="1" w:styleId="apple-converted-space">
    <w:name w:val="apple-converted-space"/>
    <w:basedOn w:val="DefaultParagraphFont"/>
    <w:rsid w:val="008F7F9F"/>
  </w:style>
  <w:style w:type="character" w:customStyle="1" w:styleId="style1">
    <w:name w:val="style1"/>
    <w:basedOn w:val="DefaultParagraphFont"/>
    <w:rsid w:val="008F7F9F"/>
  </w:style>
  <w:style w:type="character" w:customStyle="1" w:styleId="style2">
    <w:name w:val="style2"/>
    <w:basedOn w:val="DefaultParagraphFont"/>
    <w:rsid w:val="0095536D"/>
  </w:style>
  <w:style w:type="paragraph" w:customStyle="1" w:styleId="style11">
    <w:name w:val="style11"/>
    <w:basedOn w:val="Normal"/>
    <w:rsid w:val="0095536D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24D2"/>
    <w:rPr>
      <w:rFonts w:ascii="Segoe UI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524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4D3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2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4D3"/>
    <w:rPr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Wild</dc:creator>
  <cp:keywords/>
  <cp:lastModifiedBy>Peggy Wild</cp:lastModifiedBy>
  <cp:revision>14</cp:revision>
  <cp:lastPrinted>2017-06-13T16:59:00Z</cp:lastPrinted>
  <dcterms:created xsi:type="dcterms:W3CDTF">2017-05-07T04:02:00Z</dcterms:created>
  <dcterms:modified xsi:type="dcterms:W3CDTF">2017-06-13T16:59:00Z</dcterms:modified>
</cp:coreProperties>
</file>