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B" w:rsidRDefault="00BD0043" w:rsidP="00CA0AC7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-571500</wp:posOffset>
            </wp:positionV>
            <wp:extent cx="1108863" cy="12338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S NS peo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63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28"/>
        <w:gridCol w:w="720"/>
        <w:gridCol w:w="5117"/>
      </w:tblGrid>
      <w:tr w:rsidR="00006659" w:rsidRPr="00915AB2" w:rsidTr="00CF0FF0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b/>
                <w:bCs/>
                <w:lang w:bidi="ar-SA"/>
              </w:rPr>
            </w:pPr>
            <w:r w:rsidRPr="00915AB2">
              <w:rPr>
                <w:b/>
                <w:sz w:val="27"/>
                <w:szCs w:val="27"/>
              </w:rPr>
              <w:t>National Standards for Family and Consumer Sciences Education</w:t>
            </w:r>
            <w:r w:rsidRPr="00915AB2">
              <w:br/>
            </w:r>
            <w:r w:rsidRPr="00915AB2">
              <w:rPr>
                <w:sz w:val="20"/>
                <w:szCs w:val="20"/>
              </w:rPr>
              <w:t xml:space="preserve">Copyright © </w:t>
            </w:r>
            <w:r w:rsidR="00F31F1C">
              <w:rPr>
                <w:sz w:val="20"/>
                <w:szCs w:val="20"/>
              </w:rPr>
              <w:t>201</w:t>
            </w:r>
            <w:r w:rsidR="00CF0FF0">
              <w:rPr>
                <w:sz w:val="20"/>
                <w:szCs w:val="20"/>
              </w:rPr>
              <w:t>8</w:t>
            </w:r>
            <w:r w:rsidRPr="00915AB2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006659" w:rsidRPr="00915AB2" w:rsidTr="00CF0FF0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Area of Study 1.0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006659" w:rsidRPr="00915AB2" w:rsidTr="00CF0FF0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Default="00006659" w:rsidP="00CA0AC7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Career, Community and Family Connections</w:t>
            </w:r>
            <w:r w:rsidR="00CA0AC7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C368FE" w:rsidRPr="00915AB2" w:rsidRDefault="00C368FE" w:rsidP="00CA0AC7">
            <w:pPr>
              <w:rPr>
                <w:rFonts w:eastAsia="Times New Roman"/>
                <w:lang w:bidi="ar-SA"/>
              </w:rPr>
            </w:pPr>
          </w:p>
        </w:tc>
      </w:tr>
      <w:tr w:rsidR="00C368FE" w:rsidRPr="00915AB2" w:rsidTr="00CF0FF0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B2" w:rsidRPr="005F44B2" w:rsidRDefault="005F44B2" w:rsidP="005F44B2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CF0FF0" w:rsidRPr="00CF0FF0" w:rsidRDefault="006B08F9" w:rsidP="006B08F9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 w:rsidR="00CF0FF0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</w:t>
            </w:r>
            <w:r w:rsidR="00CF0FF0">
              <w:rPr>
                <w:rFonts w:eastAsia="Times New Roman" w:cs="Arial"/>
                <w:bCs/>
                <w:sz w:val="22"/>
                <w:szCs w:val="22"/>
                <w:lang w:bidi="ar-SA"/>
              </w:rPr>
              <w:t>a sequence of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course</w:t>
            </w:r>
            <w:r w:rsidR="00CF0FF0">
              <w:rPr>
                <w:rFonts w:eastAsia="Times New Roman" w:cs="Arial"/>
                <w:bCs/>
                <w:sz w:val="22"/>
                <w:szCs w:val="22"/>
                <w:lang w:bidi="ar-SA"/>
              </w:rPr>
              <w:t>s in a defined pathway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/program of study. </w:t>
            </w:r>
          </w:p>
          <w:p w:rsidR="00CF0FF0" w:rsidRPr="00CF0FF0" w:rsidRDefault="006B08F9" w:rsidP="006B08F9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</w:t>
            </w:r>
            <w:r w:rsidR="00CF0FF0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state or local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curriculum is developed, the national standards should be utilized as indicators of student achievement at the end of the pathway/program of study. Benchmarks should be developed </w:t>
            </w:r>
            <w:r w:rsidR="00CF0FF0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at the state or local level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for student achievement in earlier courses. </w:t>
            </w:r>
          </w:p>
          <w:p w:rsidR="006B08F9" w:rsidRPr="00C368FE" w:rsidRDefault="006B08F9" w:rsidP="006B08F9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 w:rsidR="007A2B45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7A2B45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7A2B45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7A2B45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7A2B45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7A2B45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might be incorporated into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course sequences for </w:t>
            </w:r>
            <w:r w:rsidR="009B552B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pathways in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several of the </w:t>
            </w:r>
            <w:r w:rsidR="009B552B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Sciences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Areas of Study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</w:p>
          <w:p w:rsidR="00C368FE" w:rsidRPr="00915AB2" w:rsidRDefault="00C368FE" w:rsidP="00F31F1C">
            <w:pPr>
              <w:ind w:left="360"/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006659" w:rsidRPr="00915AB2" w:rsidTr="00CF0FF0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br/>
              <w:t>Integrate multiple life roles and responsibilities in family, work, and community settings.</w:t>
            </w:r>
          </w:p>
        </w:tc>
      </w:tr>
      <w:tr w:rsidR="00006659" w:rsidRPr="00915AB2" w:rsidTr="00CF0FF0">
        <w:tc>
          <w:tcPr>
            <w:tcW w:w="3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006659" w:rsidRPr="00915AB2" w:rsidTr="00CF0FF0">
        <w:tc>
          <w:tcPr>
            <w:tcW w:w="3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006659" w:rsidRPr="00915AB2" w:rsidTr="00CF0FF0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</w:t>
            </w:r>
          </w:p>
        </w:tc>
        <w:tc>
          <w:tcPr>
            <w:tcW w:w="3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strategies to manage multiple roles and responsibilities (individual, family, career, community, and global).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1.1.1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Summarize local and global policies, issues, and trends in workplace</w:t>
            </w:r>
            <w:r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community</w:t>
            </w:r>
            <w:r>
              <w:rPr>
                <w:rFonts w:eastAsia="Times New Roman"/>
                <w:sz w:val="22"/>
                <w:szCs w:val="22"/>
                <w:lang w:bidi="ar-SA"/>
              </w:rPr>
              <w:t>, and family dynamics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that affect individuals and families.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1.1.2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the effects of social, economic, and technological change</w:t>
            </w:r>
            <w:r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on work and family dynamics.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1.1.3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ways that individual career goals can affect the family's capacity to meet goals for all family members.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1.1.4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Analyze potential effects of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various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career path decisions on balancing work and family.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1.1.5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Determine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goals for life-long learning and leisure opportunities for all family members.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1.1.6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Develop a life plan, including pathways to acquiring the knowledge and skills needed to achieve individual, family, and career goals.</w:t>
            </w:r>
          </w:p>
        </w:tc>
      </w:tr>
      <w:tr w:rsidR="00006659" w:rsidRPr="00915AB2" w:rsidTr="00CF0FF0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006659" w:rsidRPr="00915AB2" w:rsidTr="00CF0FF0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1.2</w:t>
            </w:r>
          </w:p>
        </w:tc>
        <w:tc>
          <w:tcPr>
            <w:tcW w:w="3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Demonstrate transferable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knowledge, attitudes,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and </w:t>
            </w:r>
            <w:r w:rsidR="001A020F">
              <w:rPr>
                <w:rFonts w:eastAsia="Times New Roman"/>
                <w:sz w:val="22"/>
                <w:szCs w:val="22"/>
                <w:lang w:bidi="ar-SA"/>
              </w:rPr>
              <w:t xml:space="preserve">technical and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employability skills in school, community and workplace settings.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1.2.1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potential career choices to determine the knowledge, skills, attitudes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, and opportunities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associated with each career.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1.2.2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Demonstrate job seeking and job keeping skills.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1.2.3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Apply communication skills in school, community and</w:t>
            </w:r>
            <w:r w:rsidR="00C90408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bookmarkStart w:id="0" w:name="_GoBack"/>
            <w:bookmarkEnd w:id="0"/>
            <w:r w:rsidRPr="00915AB2">
              <w:rPr>
                <w:rFonts w:eastAsia="Times New Roman"/>
                <w:sz w:val="22"/>
                <w:szCs w:val="22"/>
                <w:lang w:bidi="ar-SA"/>
              </w:rPr>
              <w:t>workplace settings</w:t>
            </w:r>
            <w:r w:rsidR="00211E34">
              <w:rPr>
                <w:rFonts w:eastAsia="Times New Roman"/>
                <w:sz w:val="22"/>
                <w:szCs w:val="22"/>
                <w:lang w:bidi="ar-SA"/>
              </w:rPr>
              <w:t xml:space="preserve"> and with diverse populations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1.2.4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Demonstrate teamwork skills in school, community and workplace settings</w:t>
            </w:r>
            <w:r w:rsidR="00211E34">
              <w:rPr>
                <w:rFonts w:eastAsia="Times New Roman"/>
                <w:sz w:val="22"/>
                <w:szCs w:val="22"/>
                <w:lang w:bidi="ar-SA"/>
              </w:rPr>
              <w:t xml:space="preserve"> and with diverse populations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1.2.5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Analyze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future-ready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strategies to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shape,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manage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, and </w:t>
            </w:r>
            <w:r w:rsidR="00CA0AC7">
              <w:rPr>
                <w:rFonts w:eastAsia="Times New Roman"/>
                <w:sz w:val="22"/>
                <w:szCs w:val="22"/>
                <w:lang w:bidi="ar-SA"/>
              </w:rPr>
              <w:t>utilize</w:t>
            </w:r>
            <w:r w:rsidR="00CA0AC7" w:rsidRPr="00915AB2">
              <w:rPr>
                <w:rFonts w:eastAsia="Times New Roman"/>
                <w:sz w:val="22"/>
                <w:szCs w:val="22"/>
                <w:lang w:bidi="ar-SA"/>
              </w:rPr>
              <w:t xml:space="preserve"> change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, including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changing technologies</w:t>
            </w:r>
            <w:r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in workplace settings.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1.2.6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Demonstrate leadership skills and abilities in school, workplace and community settings.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1.2.7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factors that contribute to maintaining safe and healthy school, work and community environments.</w:t>
            </w:r>
          </w:p>
        </w:tc>
      </w:tr>
      <w:tr w:rsidR="00006659" w:rsidRPr="00915AB2" w:rsidTr="00CF0FF0"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1.2.8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Demonstrate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employability skills,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work ethics</w:t>
            </w:r>
            <w:r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and professionalism.</w:t>
            </w:r>
          </w:p>
        </w:tc>
      </w:tr>
      <w:tr w:rsidR="00006659" w:rsidRPr="00915AB2" w:rsidTr="00CF0FF0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59" w:rsidRPr="00915AB2" w:rsidRDefault="00006659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211E34" w:rsidRPr="00915AB2" w:rsidTr="00CF0FF0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</w:t>
            </w:r>
          </w:p>
        </w:tc>
        <w:tc>
          <w:tcPr>
            <w:tcW w:w="3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Evaluate the reciprocal effects of individual and family participation in community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and civic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activities.</w:t>
            </w:r>
          </w:p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1.3.1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goals that support individuals and family members in carrying out community and civic responsibilities.</w:t>
            </w:r>
          </w:p>
        </w:tc>
      </w:tr>
      <w:tr w:rsidR="00211E34" w:rsidRPr="00915AB2" w:rsidTr="00CF0FF0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1.3.2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Demonstrate skills that individuals and families can utilize to support civic engagement in community activities.</w:t>
            </w:r>
          </w:p>
        </w:tc>
      </w:tr>
      <w:tr w:rsidR="00211E34" w:rsidRPr="00915AB2" w:rsidTr="00CF0FF0">
        <w:trPr>
          <w:trHeight w:val="504"/>
        </w:trPr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1.3.3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Analyze personal and family assets and skills that provide service to the community.</w:t>
            </w:r>
          </w:p>
        </w:tc>
      </w:tr>
      <w:tr w:rsidR="00211E34" w:rsidRPr="00915AB2" w:rsidTr="00CF0FF0"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30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1.3.4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Analyze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community resources and systems of formal and informal support available to individuals and families.</w:t>
            </w:r>
          </w:p>
        </w:tc>
      </w:tr>
      <w:tr w:rsidR="00211E34" w:rsidRPr="00915AB2" w:rsidTr="00CF0FF0"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1.3.5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Analyze the effects of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federal, state, and local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>public policies, agencies, and institutions on the family.</w:t>
            </w:r>
          </w:p>
        </w:tc>
      </w:tr>
      <w:tr w:rsidR="00211E34" w:rsidRPr="00915AB2" w:rsidTr="00CF0FF0"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1.3.6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34" w:rsidRPr="00915AB2" w:rsidRDefault="00211E34" w:rsidP="00CA0AC7">
            <w:pPr>
              <w:rPr>
                <w:rFonts w:eastAsia="Times New Roman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>Identify ways individuals and families can influence change in policies, agencies, and institutions that affect individuals and families.  </w:t>
            </w:r>
          </w:p>
        </w:tc>
      </w:tr>
    </w:tbl>
    <w:p w:rsidR="00006659" w:rsidRPr="00006659" w:rsidRDefault="00006659" w:rsidP="00CA0AC7">
      <w:pPr>
        <w:rPr>
          <w:sz w:val="22"/>
          <w:szCs w:val="22"/>
        </w:rPr>
      </w:pPr>
    </w:p>
    <w:sectPr w:rsidR="00006659" w:rsidRPr="00006659" w:rsidSect="004E3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44" w:rsidRDefault="00432A44" w:rsidP="007A2B45">
      <w:r>
        <w:separator/>
      </w:r>
    </w:p>
  </w:endnote>
  <w:endnote w:type="continuationSeparator" w:id="0">
    <w:p w:rsidR="00432A44" w:rsidRDefault="00432A44" w:rsidP="007A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Default="00D93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Default="00771022" w:rsidP="00771022">
    <w:pPr>
      <w:pStyle w:val="Footer"/>
      <w:pBdr>
        <w:top w:val="single" w:sz="4" w:space="1" w:color="auto"/>
      </w:pBdr>
      <w:tabs>
        <w:tab w:val="left" w:pos="7610"/>
      </w:tabs>
      <w:rPr>
        <w:sz w:val="22"/>
        <w:szCs w:val="22"/>
      </w:rPr>
    </w:pPr>
    <w:r>
      <w:rPr>
        <w:sz w:val="22"/>
        <w:szCs w:val="22"/>
      </w:rPr>
      <w:tab/>
    </w:r>
    <w:r w:rsidR="00D931F7">
      <w:rPr>
        <w:sz w:val="22"/>
        <w:szCs w:val="22"/>
      </w:rPr>
      <w:t>FCS National Standards 3.0 (NASAFACS 201</w:t>
    </w:r>
    <w:r>
      <w:rPr>
        <w:sz w:val="22"/>
        <w:szCs w:val="22"/>
      </w:rPr>
      <w:t>8</w:t>
    </w:r>
    <w:r w:rsidR="00D931F7">
      <w:rPr>
        <w:sz w:val="22"/>
        <w:szCs w:val="22"/>
      </w:rPr>
      <w:t>)</w:t>
    </w:r>
  </w:p>
  <w:p w:rsidR="007A2B45" w:rsidRDefault="007A2B45" w:rsidP="00D931F7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1</w:t>
    </w:r>
    <w:r w:rsidRPr="00BE2588">
      <w:rPr>
        <w:sz w:val="22"/>
        <w:szCs w:val="22"/>
      </w:rPr>
      <w:t xml:space="preserve"> </w:t>
    </w:r>
    <w:r>
      <w:rPr>
        <w:sz w:val="22"/>
        <w:szCs w:val="22"/>
      </w:rPr>
      <w:t>Career, Community and Family Connections</w:t>
    </w:r>
    <w:r w:rsidRPr="00BE2588">
      <w:rPr>
        <w:sz w:val="22"/>
        <w:szCs w:val="22"/>
      </w:rPr>
      <w:t xml:space="preserve">, </w:t>
    </w:r>
    <w:r w:rsidR="001A020F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5F44B2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C90408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C90408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Default="00D93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44" w:rsidRDefault="00432A44" w:rsidP="007A2B45">
      <w:r>
        <w:separator/>
      </w:r>
    </w:p>
  </w:footnote>
  <w:footnote w:type="continuationSeparator" w:id="0">
    <w:p w:rsidR="00432A44" w:rsidRDefault="00432A44" w:rsidP="007A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Default="00D93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Default="00D93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Default="00D93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C9C"/>
    <w:multiLevelType w:val="hybridMultilevel"/>
    <w:tmpl w:val="6C1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01C7"/>
    <w:multiLevelType w:val="multilevel"/>
    <w:tmpl w:val="4FA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8"/>
    <w:rsid w:val="00006659"/>
    <w:rsid w:val="00022D2D"/>
    <w:rsid w:val="00030088"/>
    <w:rsid w:val="00041AC9"/>
    <w:rsid w:val="00042CDA"/>
    <w:rsid w:val="00051FC0"/>
    <w:rsid w:val="00072814"/>
    <w:rsid w:val="00087609"/>
    <w:rsid w:val="00095AD7"/>
    <w:rsid w:val="000A2CD3"/>
    <w:rsid w:val="000B4282"/>
    <w:rsid w:val="00101799"/>
    <w:rsid w:val="00137262"/>
    <w:rsid w:val="00194AF8"/>
    <w:rsid w:val="001A020F"/>
    <w:rsid w:val="00211E34"/>
    <w:rsid w:val="00215542"/>
    <w:rsid w:val="002725A3"/>
    <w:rsid w:val="004323B8"/>
    <w:rsid w:val="00432A44"/>
    <w:rsid w:val="004434F7"/>
    <w:rsid w:val="004B67D6"/>
    <w:rsid w:val="004E3EBB"/>
    <w:rsid w:val="005451F9"/>
    <w:rsid w:val="005B36E7"/>
    <w:rsid w:val="005D3DA1"/>
    <w:rsid w:val="005F44B2"/>
    <w:rsid w:val="005F6378"/>
    <w:rsid w:val="005F7AC9"/>
    <w:rsid w:val="00653A98"/>
    <w:rsid w:val="00656A52"/>
    <w:rsid w:val="006763F7"/>
    <w:rsid w:val="006B08F9"/>
    <w:rsid w:val="006D7457"/>
    <w:rsid w:val="00771022"/>
    <w:rsid w:val="00773EF4"/>
    <w:rsid w:val="007A2B45"/>
    <w:rsid w:val="007A4D87"/>
    <w:rsid w:val="007A5C1D"/>
    <w:rsid w:val="007C7860"/>
    <w:rsid w:val="007D550D"/>
    <w:rsid w:val="00853AFB"/>
    <w:rsid w:val="008D6AD7"/>
    <w:rsid w:val="00915AB2"/>
    <w:rsid w:val="009B552B"/>
    <w:rsid w:val="00AB2E2B"/>
    <w:rsid w:val="00B13A48"/>
    <w:rsid w:val="00B238E1"/>
    <w:rsid w:val="00B3536C"/>
    <w:rsid w:val="00B66D79"/>
    <w:rsid w:val="00B970B1"/>
    <w:rsid w:val="00BC42F3"/>
    <w:rsid w:val="00BD0043"/>
    <w:rsid w:val="00C368FE"/>
    <w:rsid w:val="00C40A6B"/>
    <w:rsid w:val="00C90408"/>
    <w:rsid w:val="00CA0AC7"/>
    <w:rsid w:val="00CF0FF0"/>
    <w:rsid w:val="00D10752"/>
    <w:rsid w:val="00D931F7"/>
    <w:rsid w:val="00E2316B"/>
    <w:rsid w:val="00EE37D8"/>
    <w:rsid w:val="00F31F1C"/>
    <w:rsid w:val="00FD387E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FEBCA-CC4F-466A-8E05-7ED91CA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0">
    <w:name w:val="style20"/>
    <w:basedOn w:val="DefaultParagraphFont"/>
    <w:rsid w:val="007A4D87"/>
  </w:style>
  <w:style w:type="character" w:customStyle="1" w:styleId="apple-converted-space">
    <w:name w:val="apple-converted-space"/>
    <w:basedOn w:val="DefaultParagraphFont"/>
    <w:rsid w:val="007A4D87"/>
  </w:style>
  <w:style w:type="paragraph" w:styleId="BalloonText">
    <w:name w:val="Balloon Text"/>
    <w:basedOn w:val="Normal"/>
    <w:link w:val="BalloonTextChar"/>
    <w:uiPriority w:val="99"/>
    <w:semiHidden/>
    <w:unhideWhenUsed/>
    <w:rsid w:val="00B13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3A48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A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B4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45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2005-FCE5-408F-8F5A-2410862B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3491</Characters>
  <Application>Microsoft Office Word</Application>
  <DocSecurity>0</DocSecurity>
  <Lines>183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4</cp:revision>
  <cp:lastPrinted>2017-05-07T05:05:00Z</cp:lastPrinted>
  <dcterms:created xsi:type="dcterms:W3CDTF">2017-07-08T20:16:00Z</dcterms:created>
  <dcterms:modified xsi:type="dcterms:W3CDTF">2017-08-17T19:04:00Z</dcterms:modified>
</cp:coreProperties>
</file>